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CA6">
        <w:rPr>
          <w:rFonts w:ascii="Times New Roman" w:hAnsi="Times New Roman" w:cs="Times New Roman"/>
          <w:b/>
          <w:bCs/>
          <w:sz w:val="28"/>
          <w:szCs w:val="28"/>
        </w:rPr>
        <w:t xml:space="preserve">1.2. Антропогенные и </w:t>
      </w:r>
      <w:proofErr w:type="spellStart"/>
      <w:r w:rsidRPr="00854CA6">
        <w:rPr>
          <w:rFonts w:ascii="Times New Roman" w:hAnsi="Times New Roman" w:cs="Times New Roman"/>
          <w:b/>
          <w:bCs/>
          <w:sz w:val="28"/>
          <w:szCs w:val="28"/>
        </w:rPr>
        <w:t>антропогенно</w:t>
      </w:r>
      <w:proofErr w:type="spellEnd"/>
      <w:r w:rsidRPr="00854CA6">
        <w:rPr>
          <w:rFonts w:ascii="Times New Roman" w:hAnsi="Times New Roman" w:cs="Times New Roman"/>
          <w:b/>
          <w:bCs/>
          <w:sz w:val="28"/>
          <w:szCs w:val="28"/>
        </w:rPr>
        <w:t>-техногенные опасности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К антропогенным опасностям относят неправильные или несанкционированные действия людей (групп лиц).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Как уже было сказано выше, негативные воздействия собственно человека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на природу и себе подобных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ограничены его низкими энергетическими возможностями. Однако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влияние человека на окружающий мир может многократно возрасти, если человек взаимодействует с техническими системами или современными технологиями. В этом случае опасности следует называть </w:t>
      </w:r>
      <w:proofErr w:type="spellStart"/>
      <w:r w:rsidRPr="00854CA6">
        <w:rPr>
          <w:rFonts w:ascii="Times New Roman" w:eastAsia="TimesNewRoman" w:hAnsi="Times New Roman" w:cs="Times New Roman"/>
          <w:sz w:val="28"/>
          <w:szCs w:val="28"/>
        </w:rPr>
        <w:t>антропогенно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техногенными.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Взаимосвязь человека с технической системой может быть описана через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информационную модель, которая объединяет сенсорное и сенсомоторное поля.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К сенсорному (чувствительному) полю информационной модели относят комплекс сигналов, которые воспринимаются человеком непосредственно от системы (шум, вибрация, ЭМП и т.д.) и из ряда сигнальных показаний приборов,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индикаторов и т.п. К сенсомоторному полю относят комплекс сигналов от органов управления – рычагов, ручек, кнопок и т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д.</w:t>
      </w: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Существует условное разделение совместимости человека и технической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системы по видам.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r w:rsidRPr="00854CA6">
        <w:rPr>
          <w:rFonts w:ascii="Times New Roman" w:hAnsi="Times New Roman" w:cs="Times New Roman"/>
          <w:b/>
          <w:bCs/>
          <w:sz w:val="28"/>
          <w:szCs w:val="28"/>
        </w:rPr>
        <w:t xml:space="preserve">Биофизическая </w:t>
      </w:r>
      <w:r w:rsidRPr="009438EE">
        <w:rPr>
          <w:rFonts w:ascii="Times New Roman" w:hAnsi="Times New Roman" w:cs="Times New Roman"/>
          <w:sz w:val="28"/>
          <w:szCs w:val="20"/>
        </w:rPr>
        <w:t>совместимость</w:t>
      </w:r>
      <w:r w:rsidRPr="00854CA6">
        <w:rPr>
          <w:rFonts w:ascii="Times New Roman" w:hAnsi="Times New Roman" w:cs="Times New Roman"/>
          <w:sz w:val="20"/>
          <w:szCs w:val="20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человека и системы состоит в достижении разумного компромисса между физиологическим состоянием и работоспособностью человека с одной стороны и различными факторами, характеризующими систему с учетом объема, качества выполняемых им задач и продолжительности работы, с другой. Здесь должны быть обоснованы и выбраны номинальные и предельные значения отдельных воздействий на организм человека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 целях обеспечения минимальной опасности и максимально возможной производительности.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r w:rsidRPr="00854CA6">
        <w:rPr>
          <w:rFonts w:ascii="Times New Roman" w:hAnsi="Times New Roman" w:cs="Times New Roman"/>
          <w:b/>
          <w:bCs/>
          <w:sz w:val="28"/>
          <w:szCs w:val="28"/>
        </w:rPr>
        <w:t xml:space="preserve">Энергетическая совместимость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предусматривает создание органов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управления системы и выбор оператора так, чтобы они гармонировали в отношении затрачиваемой мощности, скорости, точности, оптимальной загрузки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конечностей оператора.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r w:rsidRPr="00854CA6"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Пространственно-антропометрическая совместимость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человека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 системы состоит в учете антропометрических характеристик и некоторых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физиологических особенностей человека при создании рабочего места.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r w:rsidRPr="00854CA6">
        <w:rPr>
          <w:rFonts w:ascii="Times New Roman" w:hAnsi="Times New Roman" w:cs="Times New Roman"/>
          <w:b/>
          <w:bCs/>
          <w:sz w:val="28"/>
          <w:szCs w:val="28"/>
        </w:rPr>
        <w:t xml:space="preserve">Технико-эстетическая совместимость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состоит в творческой и эстетической удовлетворенности человека от процесса труда как совокупности физических и интеллектуальных сил с элементами творческой целенаправленности.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r w:rsidRPr="00854CA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совместимость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означает соответствие возможностям человека по приему и переработке потока закодированной информации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эффективному положению управляющих воздействий в системе.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lastRenderedPageBreak/>
        <w:t>Реакция человека на любое внешнее воздействие (раздражение) и превращение ее в защитное действие хорошо прослеживаются на схеме рефлекторной дуги (рис. 1.7). Согласно этой схеме, энергия раздражителя поступает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рецепторы человека и далее по нервным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волокнам в виде нервных импульсов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передается в ЦНС. В коре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головного мозга – высшем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органе ЦНС – информация анализируется и по нервным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волокнам передается к исполнительным органам человека для компенсации внешнего воздействия. Результат компенсационного действия передается по обратной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связи на рецептор.</w:t>
      </w:r>
    </w:p>
    <w:p w:rsidR="00402C38" w:rsidRPr="00854CA6" w:rsidRDefault="00402C38" w:rsidP="00402C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sz w:val="32"/>
          <w:szCs w:val="32"/>
        </w:rPr>
      </w:pPr>
      <w:r w:rsidRPr="00854CA6">
        <w:rPr>
          <w:rFonts w:ascii="Times New Roman" w:eastAsia="TimesNewRoman" w:hAnsi="Times New Roman" w:cs="Times New Roman"/>
          <w:b/>
          <w:bCs/>
          <w:sz w:val="32"/>
          <w:szCs w:val="32"/>
        </w:rPr>
        <w:t>ЦНС</w:t>
      </w:r>
      <w:r w:rsidRPr="00854CA6">
        <w:rPr>
          <w:rFonts w:ascii="Times New Roman" w:hAnsi="Times New Roman" w:cs="Times New Roman"/>
          <w:noProof/>
          <w:lang w:eastAsia="ru-RU"/>
        </w:rPr>
        <w:t xml:space="preserve"> </w:t>
      </w:r>
      <w:r w:rsidRPr="00854CA6">
        <w:rPr>
          <w:rFonts w:ascii="Times New Roman" w:eastAsia="TimesNewRoman" w:hAnsi="Times New Roman" w:cs="Times New Roman"/>
          <w:b/>
          <w:bCs/>
          <w:sz w:val="32"/>
          <w:szCs w:val="32"/>
        </w:rPr>
        <w:t>ОС</w:t>
      </w:r>
      <w:r>
        <w:rPr>
          <w:rFonts w:ascii="Times New Roman" w:eastAsia="TimesNewRoman" w:hAnsi="Times New Roman" w:cs="Times New Roman"/>
          <w:b/>
          <w:bCs/>
          <w:sz w:val="32"/>
          <w:szCs w:val="32"/>
        </w:rPr>
        <w:t xml:space="preserve"> </w:t>
      </w:r>
      <w:r w:rsidRPr="00854CA6">
        <w:rPr>
          <w:rFonts w:ascii="Times New Roman" w:eastAsia="TimesNewRoman" w:hAnsi="Times New Roman" w:cs="Times New Roman"/>
          <w:b/>
          <w:bCs/>
          <w:sz w:val="32"/>
          <w:szCs w:val="32"/>
        </w:rPr>
        <w:t>ИО</w:t>
      </w:r>
    </w:p>
    <w:p w:rsidR="00402C38" w:rsidRPr="00854CA6" w:rsidRDefault="00402C38" w:rsidP="00402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4C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F964F6" wp14:editId="01A3013F">
            <wp:extent cx="4733925" cy="210950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58" cy="21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854CA6">
        <w:rPr>
          <w:rFonts w:ascii="Times New Roman" w:eastAsia="TimesNewRoman" w:hAnsi="Times New Roman" w:cs="Times New Roman"/>
          <w:sz w:val="24"/>
          <w:szCs w:val="24"/>
        </w:rPr>
        <w:t xml:space="preserve">Рис. 1.7. Схема рефлекторной дуги: 1 – энергия раздражителя </w:t>
      </w:r>
      <w:r w:rsidRPr="00854CA6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854CA6">
        <w:rPr>
          <w:rFonts w:ascii="Times New Roman" w:eastAsia="TimesNewRoman" w:hAnsi="Times New Roman" w:cs="Times New Roman"/>
          <w:sz w:val="24"/>
          <w:szCs w:val="24"/>
        </w:rPr>
        <w:t>(сигнал, информация);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54CA6">
        <w:rPr>
          <w:rFonts w:ascii="Times New Roman" w:eastAsia="TimesNewRoman" w:hAnsi="Times New Roman" w:cs="Times New Roman"/>
          <w:sz w:val="24"/>
          <w:szCs w:val="24"/>
        </w:rPr>
        <w:t xml:space="preserve">2 </w:t>
      </w:r>
      <w:r w:rsidRPr="00854CA6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– </w:t>
      </w:r>
      <w:r w:rsidRPr="00854CA6">
        <w:rPr>
          <w:rFonts w:ascii="Times New Roman" w:eastAsia="TimesNewRoman" w:hAnsi="Times New Roman" w:cs="Times New Roman"/>
          <w:sz w:val="24"/>
          <w:szCs w:val="24"/>
        </w:rPr>
        <w:t>рецептор; 3 – нервные волокна; 4 – центральная нервная система (ЦНС); 5 – нервные волокна;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54CA6">
        <w:rPr>
          <w:rFonts w:ascii="Times New Roman" w:eastAsia="TimesNewRoman" w:hAnsi="Times New Roman" w:cs="Times New Roman"/>
          <w:sz w:val="24"/>
          <w:szCs w:val="24"/>
        </w:rPr>
        <w:t xml:space="preserve">6 – исполнительный орган (ИО); 7 – путь безусловного рефлекса; 8 </w:t>
      </w:r>
      <w:r w:rsidRPr="00854CA6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– </w:t>
      </w:r>
      <w:r w:rsidRPr="00854CA6">
        <w:rPr>
          <w:rFonts w:ascii="Times New Roman" w:eastAsia="TimesNewRoman" w:hAnsi="Times New Roman" w:cs="Times New Roman"/>
          <w:sz w:val="24"/>
          <w:szCs w:val="24"/>
        </w:rPr>
        <w:t>обратная связь (ОС)</w:t>
      </w:r>
    </w:p>
    <w:p w:rsidR="00402C38" w:rsidRPr="00854CA6" w:rsidRDefault="00402C38" w:rsidP="00402C3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Датчиками системы восприятия внешних воздействий являются структурные нервные образования,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называемые рецепторами. Они представляют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собой окончания чувствительных нервных волокон, способные возбуждаться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при действии раздражителя. Часть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из них воспринимают изменения в окружающей среде, а часть – во внутренней среде организма. Согласно классификации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рецепторов, по характеру ощущений различают зрительные, слуховые, обонятельные, осязательные рецепторы, рецепторы боли, положения тела в пространстве.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При длительном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воздействии раздражителя происходит адаптация рецептора и его чувствительность снижается; однако, когда действие раздражителя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прекращается, чувствительность рецептора растет снова. Для адаптации рецепторов нет одного общего закона. Различают быстро адаптирующиеся (например, </w:t>
      </w:r>
      <w:proofErr w:type="spellStart"/>
      <w:r w:rsidRPr="00854CA6">
        <w:rPr>
          <w:rFonts w:ascii="Times New Roman" w:eastAsia="TimesNewRoman" w:hAnsi="Times New Roman" w:cs="Times New Roman"/>
          <w:sz w:val="28"/>
          <w:szCs w:val="28"/>
        </w:rPr>
        <w:t>барорецепторы</w:t>
      </w:r>
      <w:proofErr w:type="spellEnd"/>
      <w:r w:rsidRPr="00854CA6">
        <w:rPr>
          <w:rFonts w:ascii="Times New Roman" w:eastAsia="TimesNewRoman" w:hAnsi="Times New Roman" w:cs="Times New Roman"/>
          <w:sz w:val="28"/>
          <w:szCs w:val="28"/>
        </w:rPr>
        <w:t>) и медленно адаптирующиеся рецепторы (фоторецепторы).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Полученная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рецепторами информация, закодированная в нервных импульсах, передается по нервным путям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 центральные отделы и используется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для координирующей работы исполнительных органов. Иногда поступающая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информация непосредственно переключается на исполнительные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органы.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lastRenderedPageBreak/>
        <w:t>Такой принцип переработки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информации заложен в основу многих безусловных рефлексов (врожденных, наследственно передающихся). Например,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сокращение мышц конечностей, раздражаемых электрическим током, теплотой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или химическими веществами, вызывает реакцию удаления конечности от раздражителя.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длительном воздействии раздражителя на основе приобретенного опыта формируются условные рефлексы.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Человек обладает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рядом специализированных периферийных образований – органов чувств, обеспечивающих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восприятие действующих на организм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внешних раздражителей (из окружающей среды). К ним относят органы слуха,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зрения, обоняния, вкуса, осязания. Не следует смешивать понятия «орган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чувств» и «рецептор», например глаз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– орган зрения, а сетчатка – фоторецептор, один из компонентов органа зрения. Помимо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сетчатки в состав органа зрения входят преломляющие среды глаза, различные его оболочки, мышечный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аппарат.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Понятие «орган чувств»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значительной мере условно, так как сам по себе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он не может обеспечить ощущение. Для возникновения субъективного ощущения необходимо, чтобы возбуждение возникло на рецепторах и поступило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 центральную нервную систему.</w:t>
      </w: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С помощью органов чувств человек получает обширную информацию об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окружающем мире. Количество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информации принято измерять в двоичных знаках – битах. В табл. 1.3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приведены максимальные скорости передачи информации, принимаемой человеком с помощью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различных органов чувств и 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рецепторов для передачи к коре больших полушарий.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Таблица 1.3</w:t>
      </w:r>
    </w:p>
    <w:p w:rsidR="00402C38" w:rsidRPr="00854CA6" w:rsidRDefault="00402C38" w:rsidP="00402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Характеристика органов чувств по скорости передачи информации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2C38" w:rsidRPr="00854CA6" w:rsidTr="008C008F"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Воспринимаемый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сигнал</w:t>
            </w:r>
          </w:p>
        </w:tc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3191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Максимальная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скорость, бит/с</w:t>
            </w:r>
          </w:p>
        </w:tc>
      </w:tr>
      <w:tr w:rsidR="00402C38" w:rsidRPr="00854CA6" w:rsidTr="008C008F"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Зрительный</w:t>
            </w:r>
          </w:p>
        </w:tc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Длина линии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Цвет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Яркость</w:t>
            </w:r>
          </w:p>
        </w:tc>
        <w:tc>
          <w:tcPr>
            <w:tcW w:w="3191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3,25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3,5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3,3</w:t>
            </w:r>
          </w:p>
        </w:tc>
      </w:tr>
      <w:tr w:rsidR="00402C38" w:rsidRPr="00854CA6" w:rsidTr="008C008F"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Слуховой</w:t>
            </w:r>
          </w:p>
        </w:tc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Громкость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Высота тона</w:t>
            </w:r>
          </w:p>
        </w:tc>
        <w:tc>
          <w:tcPr>
            <w:tcW w:w="3191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2,3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2,5</w:t>
            </w:r>
          </w:p>
        </w:tc>
      </w:tr>
      <w:tr w:rsidR="00402C38" w:rsidRPr="00854CA6" w:rsidTr="008C008F"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Вкусовой</w:t>
            </w:r>
          </w:p>
        </w:tc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Соленость</w:t>
            </w:r>
          </w:p>
        </w:tc>
        <w:tc>
          <w:tcPr>
            <w:tcW w:w="3191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1,3</w:t>
            </w:r>
          </w:p>
        </w:tc>
      </w:tr>
      <w:tr w:rsidR="00402C38" w:rsidRPr="00854CA6" w:rsidTr="008C008F"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Обонятельный</w:t>
            </w:r>
          </w:p>
        </w:tc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Интенсивность</w:t>
            </w:r>
          </w:p>
        </w:tc>
        <w:tc>
          <w:tcPr>
            <w:tcW w:w="3191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1,53</w:t>
            </w:r>
          </w:p>
        </w:tc>
      </w:tr>
      <w:tr w:rsidR="00402C38" w:rsidRPr="00854CA6" w:rsidTr="008C008F"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Тактильный</w:t>
            </w:r>
          </w:p>
        </w:tc>
        <w:tc>
          <w:tcPr>
            <w:tcW w:w="3190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Интенсивность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Продолжительность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Расположение на теле</w:t>
            </w:r>
          </w:p>
        </w:tc>
        <w:tc>
          <w:tcPr>
            <w:tcW w:w="3191" w:type="dxa"/>
          </w:tcPr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2,0</w:t>
            </w:r>
          </w:p>
          <w:p w:rsidR="00402C38" w:rsidRPr="00854CA6" w:rsidRDefault="00402C38" w:rsidP="008C0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2,3</w:t>
            </w:r>
          </w:p>
          <w:p w:rsidR="00402C38" w:rsidRPr="00854CA6" w:rsidRDefault="00402C38" w:rsidP="008C008F">
            <w:pPr>
              <w:jc w:val="center"/>
              <w:rPr>
                <w:rFonts w:ascii="Times New Roman" w:eastAsia="TimesNewRoman" w:hAnsi="Times New Roman" w:cs="Times New Roman"/>
                <w:sz w:val="26"/>
                <w:szCs w:val="26"/>
              </w:rPr>
            </w:pPr>
            <w:r w:rsidRPr="00854CA6">
              <w:rPr>
                <w:rFonts w:ascii="Times New Roman" w:eastAsia="TimesNewRoman" w:hAnsi="Times New Roman" w:cs="Times New Roman"/>
                <w:sz w:val="26"/>
                <w:szCs w:val="26"/>
              </w:rPr>
              <w:t>2,8</w:t>
            </w:r>
          </w:p>
        </w:tc>
      </w:tr>
    </w:tbl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Нервная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система человека подразделяется на центральную нервную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систему, включающую головной и спинной мозг, и периферическую (ПНС),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которую составляют нервные волокна и узлы,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лежащие вне ЦНС. Нервная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система функционирует по принципу рефлекса. Рефлексом называют любую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ответную реакцию организма на раздражение из окружающей или внутренней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среды, осуществляющуюся с участием ЦНС.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lastRenderedPageBreak/>
        <w:t>Защитные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функции организма, преимущественно двигательные, реализуются через мозг и его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память. И только когда там не найдено адекватной программы реакции на сигнал, подключается сознание, прежде всего проявляя стереотипность мышления.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Человек обладает долговременной и кратковременной (оперативной) памятью. Объем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долговременной памяти составляет 10</w:t>
      </w:r>
      <w:r>
        <w:rPr>
          <w:rFonts w:ascii="Times New Roman" w:eastAsia="TimesNewRoman" w:hAnsi="Times New Roman" w:cs="Times New Roman"/>
          <w:sz w:val="28"/>
          <w:szCs w:val="28"/>
          <w:vertAlign w:val="superscript"/>
        </w:rPr>
        <w:t>21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бит, а кратковременная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память имеет малую емкость – 50 бит. Поскольку воспоминание, т.е. обращение в долговременную и кратковременную память, подвергается воздействию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большого числа внешних факторов, то результат его носит во многом случайный характер. Хранение представлений в памяти тоже может видоизменяться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вследствие стирания отдельных элементов информации или возникновения новых, отсутствующих в оригинале.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Процесс сознательного поиска решения очень медленный и для обычной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жизни малопригодный. В экстремальных быстроразвивающихся ситуациях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вероятность того, что человек найдет нужное решение в процессе мышления,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очень мала. Основной путь подготовки человека к действиям в конкретных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защитных ситуациях состоит в постоянном обучении и тренировке в целях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перевода действий на уровень стереотипов.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Стереотип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это устойчиво сформировавшаяся в прежнем осознанном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опыте рефлекторная дуга, выводимая в пограничную зону «сознание 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подсознание». Чем чаще идут одинаковые импульсы, тем прочнее становится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система их передачи от рецептора к исполнительному органу. При этом вероятность определения двигательной реакции на определенное раздражение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нарастает. Однако эта вероятность никогда не сможет достичь единицы в силу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существования опасности искажения сигнала в проводящей системе. Следовательно, процесс принятия решения является многовариантным, в том числе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 содержащим ошибки.</w:t>
      </w: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Любая деятельность человека несет в себе потенциальную опасность, так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как вероятность неправильного решения всегда существует. Это обусловлено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объективно существующими трудностями вспоминания и выстраивания многовариантных процессов передачи сигналов по рефлекторной дуге. Если в прошлом такого опыта вообще не было, то решения принимаются методом проб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 ошибок. Свобода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выбора решений таит в себе потенциальную опасность от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вмешательства человека в любой процесс.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Отсюда следует аксиома о потенциальной опасности деятельности человека</w:t>
      </w:r>
      <w:r w:rsidRPr="00854CA6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«Реакция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человека на внешние раздражения может быть ошибочной и сопровождаться </w:t>
      </w:r>
      <w:proofErr w:type="spellStart"/>
      <w:r w:rsidRPr="00854CA6">
        <w:rPr>
          <w:rFonts w:ascii="Times New Roman" w:eastAsia="TimesNewRoman" w:hAnsi="Times New Roman" w:cs="Times New Roman"/>
          <w:sz w:val="28"/>
          <w:szCs w:val="28"/>
        </w:rPr>
        <w:t>антропогенно</w:t>
      </w:r>
      <w:proofErr w:type="spellEnd"/>
      <w:r w:rsidRPr="00854CA6">
        <w:rPr>
          <w:rFonts w:ascii="Times New Roman" w:eastAsia="TimesNewRoman" w:hAnsi="Times New Roman" w:cs="Times New Roman"/>
          <w:sz w:val="28"/>
          <w:szCs w:val="28"/>
        </w:rPr>
        <w:t>-техногенными опасностями».</w:t>
      </w:r>
    </w:p>
    <w:p w:rsidR="00C21ED3" w:rsidRPr="00854CA6" w:rsidRDefault="00C21ED3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NewRoman" w:hAnsi="Times New Roman" w:cs="Times New Roman"/>
          <w:sz w:val="28"/>
          <w:szCs w:val="28"/>
        </w:rPr>
        <w:t xml:space="preserve">Факторы возникновения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антропогенно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-техногенных опасностей. </w:t>
      </w:r>
    </w:p>
    <w:p w:rsidR="00C21ED3" w:rsidRPr="00C21ED3" w:rsidRDefault="00C21ED3" w:rsidP="00C21ED3">
      <w:pPr>
        <w:pStyle w:val="a6"/>
        <w:numPr>
          <w:ilvl w:val="0"/>
          <w:numId w:val="1"/>
        </w:numPr>
        <w:textAlignment w:val="baseline"/>
        <w:rPr>
          <w:sz w:val="28"/>
        </w:rPr>
      </w:pPr>
      <w:r w:rsidRPr="00C21ED3">
        <w:rPr>
          <w:rFonts w:eastAsia="+mn-ea"/>
          <w:color w:val="000000"/>
          <w:sz w:val="28"/>
          <w:szCs w:val="64"/>
        </w:rPr>
        <w:t>принятия неправильного решения (непреднамеренно);</w:t>
      </w:r>
    </w:p>
    <w:p w:rsidR="00C21ED3" w:rsidRPr="00C21ED3" w:rsidRDefault="00C21ED3" w:rsidP="00C21ED3">
      <w:pPr>
        <w:pStyle w:val="a6"/>
        <w:numPr>
          <w:ilvl w:val="0"/>
          <w:numId w:val="1"/>
        </w:numPr>
        <w:textAlignment w:val="baseline"/>
        <w:rPr>
          <w:sz w:val="28"/>
        </w:rPr>
      </w:pPr>
      <w:r w:rsidRPr="00C21ED3">
        <w:rPr>
          <w:rFonts w:eastAsia="+mn-ea"/>
          <w:color w:val="000000"/>
          <w:sz w:val="28"/>
          <w:szCs w:val="64"/>
        </w:rPr>
        <w:t xml:space="preserve">нарушения трудоспособности и здоровья работающего </w:t>
      </w:r>
    </w:p>
    <w:p w:rsidR="00C21ED3" w:rsidRPr="00C21ED3" w:rsidRDefault="00C21ED3" w:rsidP="00C21ED3">
      <w:pPr>
        <w:pStyle w:val="a6"/>
        <w:numPr>
          <w:ilvl w:val="0"/>
          <w:numId w:val="1"/>
        </w:numPr>
        <w:textAlignment w:val="baseline"/>
        <w:rPr>
          <w:sz w:val="28"/>
        </w:rPr>
      </w:pPr>
      <w:r w:rsidRPr="00C21ED3">
        <w:rPr>
          <w:rFonts w:eastAsia="+mn-ea"/>
          <w:color w:val="000000"/>
          <w:sz w:val="28"/>
          <w:szCs w:val="64"/>
        </w:rPr>
        <w:t>сознательных действий человека</w:t>
      </w:r>
    </w:p>
    <w:bookmarkEnd w:id="0"/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Серьезную угрозу возникновения </w:t>
      </w:r>
      <w:proofErr w:type="spellStart"/>
      <w:r w:rsidRPr="00854CA6">
        <w:rPr>
          <w:rFonts w:ascii="Times New Roman" w:eastAsia="TimesNewRoman" w:hAnsi="Times New Roman" w:cs="Times New Roman"/>
          <w:sz w:val="28"/>
          <w:szCs w:val="28"/>
        </w:rPr>
        <w:t>антропогенно</w:t>
      </w:r>
      <w:proofErr w:type="spellEnd"/>
      <w:r w:rsidRPr="00854CA6">
        <w:rPr>
          <w:rFonts w:ascii="Times New Roman" w:eastAsia="TimesNewRoman" w:hAnsi="Times New Roman" w:cs="Times New Roman"/>
          <w:sz w:val="28"/>
          <w:szCs w:val="28"/>
        </w:rPr>
        <w:t>-техногенных опасностей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представляет также внезапное или преднамеренное (из-за применения алкоголя,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наркотиков или других </w:t>
      </w:r>
      <w:proofErr w:type="spellStart"/>
      <w:r w:rsidRPr="00854CA6">
        <w:rPr>
          <w:rFonts w:ascii="Times New Roman" w:eastAsia="TimesNewRoman" w:hAnsi="Times New Roman" w:cs="Times New Roman"/>
          <w:sz w:val="28"/>
          <w:szCs w:val="28"/>
        </w:rPr>
        <w:t>токсикантов</w:t>
      </w:r>
      <w:proofErr w:type="spellEnd"/>
      <w:r w:rsidRPr="00854CA6">
        <w:rPr>
          <w:rFonts w:ascii="Times New Roman" w:eastAsia="TimesNewRoman" w:hAnsi="Times New Roman" w:cs="Times New Roman"/>
          <w:sz w:val="28"/>
          <w:szCs w:val="28"/>
        </w:rPr>
        <w:t>) нарушение трудоспособности и здоровья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работающих и, прежде всего, операторов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lastRenderedPageBreak/>
        <w:t>технических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систем. В последние годы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эти угрозы значительно возросли. В России, по данным официальной статистики на 2009 год, число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наркоманов оценивается в 503000 человек, состоящих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диспансерном учете. 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это только те люди, которые официально зарегистрированы и находятся под наблюдением в наркологических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диспансерах. А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экспертным оценкам, в наркологические учреждения обращается только каждый десятый наркоман. Так что реальная 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численность на сегодняшний день 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более 5 млн россиян.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Серьезную опасность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для человека представляет потребление алкоголя.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По данным НИИ </w:t>
      </w:r>
      <w:proofErr w:type="spellStart"/>
      <w:r w:rsidRPr="00854CA6">
        <w:rPr>
          <w:rFonts w:ascii="Times New Roman" w:eastAsia="TimesNewRoman" w:hAnsi="Times New Roman" w:cs="Times New Roman"/>
          <w:sz w:val="28"/>
          <w:szCs w:val="28"/>
        </w:rPr>
        <w:t>Минздравсоцразвития</w:t>
      </w:r>
      <w:proofErr w:type="spellEnd"/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 России, количество проданного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 2008 г. спиртного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составляет 18 л чистого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алкоголя на душу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населения.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А между тем, если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этот показатель превышает 8 л, начинается угасание этноса.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 настоящее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время РФ занимает первое место в мире по потреблению алкоголя.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Для сравнения – потребление в 2008 г.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душу населения в других странах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значительно меньше, а именно: Китай – 5 л на 1 чел./год, Турция – 1,5 л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1 чел./год. Ранее в России производство алкоголя составляло на 1 человека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 год: в 1950 г. 4,1 л, в 1965 г. – 8,0 л, в 1980 г. – 10,1 л.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В 55–60 % случаев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россияне пьют крепкие алкогольные напитки (водка,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коньяк и т. п.), в 32–35 % – пиво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 лишь в 7–8 % – различные вина. Больше всего в стране алкоголем (обычно пивом) злоупотребляют подростки. Из каждых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100 тыс. населения алкоголизмом больны уже 22 человека, а 827 подростков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регулярно принимают спиртное без проявления признаков алкогольной зависимости.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Распространенность самоубийств на 12 % зависит от хронического алкоголизма. Алкоголь обнаруживается не менее чем у 30 % самоубийц. Более 30 %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дорожно-транспортных происшествий (ДТП) приходится на долю пьяных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водителей.</w:t>
      </w:r>
    </w:p>
    <w:p w:rsidR="00402C38" w:rsidRPr="00854CA6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Апогеем </w:t>
      </w:r>
      <w:proofErr w:type="spellStart"/>
      <w:r w:rsidRPr="00854CA6">
        <w:rPr>
          <w:rFonts w:ascii="Times New Roman" w:eastAsia="TimesNewRoman" w:hAnsi="Times New Roman" w:cs="Times New Roman"/>
          <w:sz w:val="28"/>
          <w:szCs w:val="28"/>
        </w:rPr>
        <w:t>антропогенно</w:t>
      </w:r>
      <w:proofErr w:type="spellEnd"/>
      <w:r w:rsidRPr="00854CA6">
        <w:rPr>
          <w:rFonts w:ascii="Times New Roman" w:eastAsia="TimesNewRoman" w:hAnsi="Times New Roman" w:cs="Times New Roman"/>
          <w:sz w:val="28"/>
          <w:szCs w:val="28"/>
        </w:rPr>
        <w:t>-техногенных опасностей являются опасности, возникающие в результате сознательных действий человека (терроризм, военные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конфликты, сознательное нарушение правил поведения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и т. п.). Происхождение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таких опасностей во многом носит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целевой характер и всегда связано с планируемой деятельностью отдельных личностей или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группировок, а уровень опасностей, как правило, является крайне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высоким. Эта группа опасностей в учебном пособии не анализируется вследствие отличий в их происхождении и смены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акцентов на противоположные в системе </w:t>
      </w:r>
      <w:r w:rsidRPr="00854CA6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источник опасности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r w:rsidRPr="00854CA6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объект защиты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54CA6">
        <w:rPr>
          <w:rFonts w:ascii="Times New Roman" w:eastAsia="TimesNewRoman" w:hAnsi="Times New Roman" w:cs="Times New Roman"/>
          <w:sz w:val="28"/>
          <w:szCs w:val="28"/>
        </w:rPr>
        <w:t>В обыденной жизни влияние источника опасности всегда нужно уменьшать,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а в рассматриваемом случае – всегда усиливать (оружие, бомбы и т. п.); объекты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защиты в обычной жизни всегда оберегают, а в рассматриваемом случае 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54CA6">
        <w:rPr>
          <w:rFonts w:ascii="Times New Roman" w:eastAsia="TimesNewRoman" w:hAnsi="Times New Roman" w:cs="Times New Roman"/>
          <w:sz w:val="28"/>
          <w:szCs w:val="28"/>
        </w:rPr>
        <w:t>уничтожают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02C38" w:rsidRDefault="00402C38" w:rsidP="00402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C0A04" w:rsidRDefault="00BC0A04"/>
    <w:sectPr w:rsidR="00BC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7429"/>
    <w:multiLevelType w:val="hybridMultilevel"/>
    <w:tmpl w:val="4BC2D5FA"/>
    <w:lvl w:ilvl="0" w:tplc="5C84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B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67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4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C4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82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C3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E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E3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38"/>
    <w:rsid w:val="00402C38"/>
    <w:rsid w:val="00BC0A04"/>
    <w:rsid w:val="00C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3CBDB-5F02-48E1-95D2-9BC543B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1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9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3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Certified Windows</cp:lastModifiedBy>
  <cp:revision>2</cp:revision>
  <dcterms:created xsi:type="dcterms:W3CDTF">2018-10-14T15:28:00Z</dcterms:created>
  <dcterms:modified xsi:type="dcterms:W3CDTF">2018-10-19T07:26:00Z</dcterms:modified>
</cp:coreProperties>
</file>