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  <w:szCs w:val="28"/>
        </w:rPr>
        <w:id w:val="314530"/>
        <w:docPartObj>
          <w:docPartGallery w:val="Cover Pages"/>
          <w:docPartUnique/>
        </w:docPartObj>
      </w:sdtPr>
      <w:sdtEndPr/>
      <w:sdtContent>
        <w:p w:rsidR="004859A6" w:rsidRP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59A6">
            <w:rPr>
              <w:rFonts w:ascii="Times New Roman" w:hAnsi="Times New Roman" w:cs="Times New Roman"/>
              <w:sz w:val="28"/>
              <w:szCs w:val="28"/>
            </w:rPr>
            <w:t>Министерство образования и науки РФ</w:t>
          </w:r>
        </w:p>
        <w:p w:rsidR="004859A6" w:rsidRP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59A6">
            <w:rPr>
              <w:rFonts w:ascii="Times New Roman" w:hAnsi="Times New Roman" w:cs="Times New Roman"/>
              <w:sz w:val="28"/>
              <w:szCs w:val="28"/>
            </w:rPr>
            <w:t>ФГАОУ ВПО «Северо-Восточный университет им. М.К. Аммосова»</w:t>
          </w:r>
        </w:p>
        <w:p w:rsidR="004859A6" w:rsidRP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59A6">
            <w:rPr>
              <w:rFonts w:ascii="Times New Roman" w:hAnsi="Times New Roman" w:cs="Times New Roman"/>
              <w:sz w:val="28"/>
              <w:szCs w:val="28"/>
            </w:rPr>
            <w:t>Горный институт</w:t>
          </w: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59A6">
            <w:rPr>
              <w:rFonts w:ascii="Times New Roman" w:hAnsi="Times New Roman" w:cs="Times New Roman"/>
              <w:sz w:val="28"/>
              <w:szCs w:val="28"/>
            </w:rPr>
            <w:t>Кафедра «Промышленная безопасность»</w:t>
          </w: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523993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Практическая работа </w:t>
          </w:r>
          <w:r w:rsidR="004859A6">
            <w:rPr>
              <w:rFonts w:ascii="Times New Roman" w:hAnsi="Times New Roman" w:cs="Times New Roman"/>
              <w:sz w:val="28"/>
              <w:szCs w:val="28"/>
            </w:rPr>
            <w:t xml:space="preserve"> №</w:t>
          </w:r>
          <w:r w:rsidR="001D49C8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59A6">
            <w:rPr>
              <w:rFonts w:ascii="Times New Roman" w:hAnsi="Times New Roman" w:cs="Times New Roman"/>
              <w:sz w:val="28"/>
              <w:szCs w:val="28"/>
            </w:rPr>
            <w:t>Анализ режимов деятельности оператора системы оперативного управления</w:t>
          </w: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23993" w:rsidRDefault="00523993" w:rsidP="004859A6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23993" w:rsidRDefault="00523993" w:rsidP="004859A6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23993" w:rsidRDefault="00523993" w:rsidP="004859A6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859A6" w:rsidRPr="004859A6" w:rsidRDefault="004859A6" w:rsidP="004859A6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Якутск 2015</w:t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lastRenderedPageBreak/>
            <w:t>Анализ режимов деятельности оператора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системы оперативного управления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Методические указания к выполнению работы.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При исследовании и проектировании СЧМ важно определить положение и роль человека в системе, обеспечивающих оптимальное взаимодействие человека и машины (т. е. определить так называемый человеческий фактор). Ошибки, допускаемые человеком, во многом зависят от физического и психологического состояния, в котором могут находиться люди в конкретной деятельности.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Психофизиологические  свойства операторов в большей степени зависят от особенностей его  личности:  мировоззрения  (система взглядов), интересов, способности и одаренности, темперамента  и черт характера, внимания (функциональной устойчивости, переключения внимания, распределения объема памяти).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Задача эргономики – выявить несоответствие индивидуально-психоло-гических качеств человека выполняемой им работе. Это соответствие можно проверить по схеме: на 1-м этапе изучаются психофизиологические особенности структуры трудовой деятельности и причины типичных ошибок оператора; на 2-м – производится сопоставление выявленных особенностей психофизиологическим характеристикам оператора; на 3-м – выработка экспериментального заключения на основе сопоставления.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Для оценки работы операторов, обслуживающих транспортный процесс, используют комплексную характеристику –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функциональное состояние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– совокупность характеристик физиологических и психологических  качеств, которая обеспечивает эффективность выполнения производственных операций. Функциональное состояние оценивают через следующие группы параметров: интеллектуальные (осмысление работы, сосредоточенное  внимание, принятие решения); эмоциональные  (бодрость, уверенность,  трудовой подъем, усталость, вялость, подавленность,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нежелание  работать); двигательные  (уровень  двигательной  активности, скорость движений, их точность, замедленность, ошибочность).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Функциональное состояние характеризуется (в зависимости от  изменения этих параметров) двумя процессами: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работоспособностью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– максимальные функциональные возможности оператора для выполнения  работы и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утомлением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– состояние, обратное работоспособности, т. е. снижение максимальных  возможностей  оператора, вызванное  работой и воздействием неблагоприятных условий труда. Утомление – это сигнал к прекращению работы или уменьшению ее интенсивности.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Динамика изменения функционального состояния оператора характеризуется «кривой» работы человека (рисунок 1), состоящей из следующих фаз: 1 – фаза врабатывания; 2 – фаза нормальной работы; 3 – фаза  усталости;  4 – фаза второго дыхания; 5 – фаза вторичной усталости.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8472"/>
          </w:tblGrid>
          <w:tr w:rsidR="004859A6" w:rsidRPr="00A0176E" w:rsidTr="001B67E3">
            <w:trPr>
              <w:gridAfter w:val="1"/>
              <w:trHeight w:val="195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5379720" cy="2957195"/>
                      <wp:effectExtent l="0" t="0" r="0" b="0"/>
                      <wp:docPr id="3" name="Рисунок 3" descr="http://vunivere.ru/workbase/00/04/64/62/images/image02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vunivere.ru/workbase/00/04/64/62/images/image020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9720" cy="2957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Рисунок 1 – Динамика изменения функционального состояния оператора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Границы перехода с работоспособного состояния в  утомление характеризуется допустимыми отклонениями от нормы: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– показатель функционального состояния оператора считается нормальным  [9, с. 421], если он отклоняется не более чем на 10 % от исходного уровня;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– допустимым считается отклонение значений параметра, которые лежат в  интервале от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М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 ± 1 – 3 s 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 (в зависимости от принятого уровня значимости), где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М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 – математическое ожидание; s 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 – среднее квадратическое отклонение.                                     </w:t>
          </w:r>
        </w:p>
        <w:tbl>
          <w:tblPr>
            <w:tblW w:w="14400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400"/>
          </w:tblGrid>
          <w:tr w:rsidR="004859A6" w:rsidRPr="00A0176E" w:rsidTr="001B67E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4859A6">
                <w:pPr>
                  <w:spacing w:after="0" w:line="36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4859A6">
                <w:pPr>
                  <w:spacing w:after="0" w:line="360" w:lineRule="auto"/>
                  <w:ind w:firstLine="709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Изменение функционального состояния оператора на основании параметров среднего времени обработки  одного  входящего и одного исходящего сообщения рассчитываются по данным таблиц 2.1 и 2.2 (индивидуального задания) за каждый час смены: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1104265" cy="724535"/>
                <wp:effectExtent l="19050" t="0" r="0" b="0"/>
                <wp:docPr id="9" name="Рисунок 9" descr="http://vunivere.ru/workbase/00/04/64/62/images/image0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vunivere.ru/workbase/00/04/64/62/images/image02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</w:t>
          </w: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1270635" cy="724535"/>
                <wp:effectExtent l="19050" t="0" r="0" b="0"/>
                <wp:docPr id="10" name="Рисунок 10" descr="http://vunivere.ru/workbase/00/04/64/62/images/image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vunivere.ru/workbase/00/04/64/62/images/image02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                           (1)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По рассчитанным значениям  строятся  два графика: для входящих  и для исходящих сообщений. Для каждого графика определяется среднее значение  показателя в  целом  за  смену и эти значения наносятся на графики в виде линии. Данное значение среднего времени обработки одного входящего и исходящего сообщения является основой для определения фаз работоспособности (по образцу рисунка 1). При этом каждое пересечение линии многоугольника почасовых распределений с линией среднего значения за смену  определяет вероятное место перехода функционального состояния оператора с одной фазы в другую.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На основании анализа графика нужно определить продолжительность  каждой фазы работоспособности оператора: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ф1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,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ф2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, ...,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ф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m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, где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m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 – число фаз. Динамика работоспособности оценивается по относительной продолжительности фазы устойчивой работоспособности, к которой 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относятся (для рассматриваемого примера) все фазы, расположенные на графике ниже линии среднего значения показателя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j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ср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за смену,</w:t>
          </w:r>
        </w:p>
        <w:p w:rsidR="004859A6" w:rsidRPr="00A0176E" w:rsidRDefault="004859A6" w:rsidP="004859A6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      </w:t>
          </w: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2399030" cy="605790"/>
                <wp:effectExtent l="0" t="0" r="1270" b="0"/>
                <wp:docPr id="11" name="Рисунок 11" descr="http://vunivere.ru/workbase/00/04/64/62/images/image0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vunivere.ru/workbase/00/04/64/62/images/image02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&gt;  0,65.                        (2)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При выполнении этого условия общее функциональное состояние оператора в течение смены оценивается как устойчивое.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Функциональное  состояние операторов СЧМ реального времени обычно рассматривается через два вида напряженности работы: операционное и эмоциональное. Операционное  – определяется плотностью различного рода информации, которую оператор воспринимает в течение работы. Учитываются такие  параметры, как темп и равномерность поступления информации,  длительность их обслуживания. Характеристиками для оценки операционной напряженности являются: коэффициент загрузки, период занятости, длина очереди, время обработки информации, скорость ее поступления.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Коэффициент загруженности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     </w:t>
          </w: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735965" cy="546100"/>
                <wp:effectExtent l="0" t="0" r="0" b="0"/>
                <wp:docPr id="12" name="Рисунок 12" descr="http://vunivere.ru/workbase/00/04/64/62/images/image0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vunivere.ru/workbase/00/04/64/62/images/image024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                                           (3)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где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o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– период времени, в течение которого оператор занят обработкой информации;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     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см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– общее время работы.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Исходя из психофизиологического условия обеспечения допустимой продолжительности оперативного покоя в течение работы коэффициент            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Z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&lt; 0,75. Для оператора должно быть обеспечено также регулярное чередование периодов работы и оперативного покоя, которое характеризуется параметром период занятости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зан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– время непрерывной, без пауз, работы, рекомендуется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зан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15 мин.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Появление  очереди в обработке информации приводит к снижению качества деятельности оператора, что может быть оценено коэффициентом очереди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819150" cy="546100"/>
                <wp:effectExtent l="0" t="0" r="0" b="0"/>
                <wp:docPr id="13" name="Рисунок 13" descr="http://vunivere.ru/workbase/00/04/64/62/images/image0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vunivere.ru/workbase/00/04/64/62/images/image02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                                            (4)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819150" cy="570230"/>
                <wp:effectExtent l="0" t="0" r="0" b="0"/>
                <wp:docPr id="14" name="Рисунок 14" descr="http://vunivere.ru/workbase/00/04/64/62/images/image02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://vunivere.ru/workbase/00/04/64/62/images/image02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                                              (5)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где 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оч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– число сообщений, обработанных при наличии очереди или через   число сигналов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 N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оч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, обработанных оператором в условиях очереди на обслуживание и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N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– общее число поступивших сигналов.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Деятельность оператора характеризуется  также и  длиной  очереди, которая определяется числом сигналов, одновременно требующих внимания оператора. Длина очереди не должна превышать объем оперативной памяти, например, для поездного диспетчера – 3 сообщения.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Задача определения непрерывной продолжительности рабочей смены оператора состоит в том, чтобы найти критическое значение анализируемого параметра (например, времени реакции на звуковой сигнал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з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), при котором различие с исходным значением параметра становится ощутимым (значимым).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Сравнение всех средних почасовых значений параметра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M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з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 с исходной величиной (исходной величиной можно считать наилучшее значение параметра, для времени реакции это будет минимальное значение) производится по формуле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2042795" cy="605790"/>
                <wp:effectExtent l="19050" t="0" r="0" b="0"/>
                <wp:docPr id="15" name="Рисунок 15" descr="http://vunivere.ru/workbase/00/04/64/62/images/image0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vunivere.ru/workbase/00/04/64/62/images/image027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79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                                    (6)</w:t>
          </w:r>
        </w:p>
        <w:tbl>
          <w:tblPr>
            <w:tblW w:w="14400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400"/>
          </w:tblGrid>
          <w:tr w:rsidR="004859A6" w:rsidRPr="00A0176E" w:rsidTr="001B67E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4859A6">
                <w:pPr>
                  <w:spacing w:after="0" w:line="36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4859A6">
                <w:pPr>
                  <w:spacing w:after="0" w:line="36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где 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к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– значение   статистического  критерия,  для нормального закона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к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определяет число средних квадратичных отклонений, которое нужно отложить вправо и влево от центра рассеивания для того, чтобы вероятность попадания в полученный участок была равна принятой доверительной вероятности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P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д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(таблица 1);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  D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з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 – дисперсия, определяется  через  среднее  значение почасовых дисперсий;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N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1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,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N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2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– числа наблюдений, по результатам которых вычислены математические ожидания сравниваемых значений параметра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з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Таблица 1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- 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Расчетные значения параметра </w:t>
          </w:r>
          <w:r w:rsidRPr="00A0176E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vertAlign w:val="subscript"/>
            </w:rPr>
            <w:t>к</w:t>
          </w:r>
        </w:p>
        <w:tbl>
          <w:tblPr>
            <w:tblW w:w="0" w:type="auto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88"/>
            <w:gridCol w:w="278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Доверительная вероятность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</w:rPr>
                  <w:t>P</w:t>
                </w: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  <w:vertAlign w:val="subscript"/>
                  </w:rPr>
                  <w:t>д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0,84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0,86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0.88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0,90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0,92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0,94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0,96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0,98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0,999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Критерий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</w:rPr>
                  <w:t>t</w:t>
                </w: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  <w:vertAlign w:val="subscript"/>
                  </w:rPr>
                  <w:t>к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1,404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1,475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1,554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1,643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1,740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1,880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2,053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2,325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3,290</w:t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Устойчивость психофизиологических функций оператора в течение смены можно определить через коэффициент вариации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1151890" cy="546100"/>
                <wp:effectExtent l="0" t="0" r="0" b="0"/>
                <wp:docPr id="27" name="Рисунок 27" descr="http://vunivere.ru/workbase/00/04/64/62/images/image02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http://vunivere.ru/workbase/00/04/64/62/images/image02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                                                  (7)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при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&lt; 0,1 – высокая устойчивость, 0,1 &lt;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&lt; 0,2 – средняя устойчивость,    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&gt; 0,2 – низкая устойчивость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Пример решения задачи.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На основании данных, представленных в таблицах 2.1 и 2.2 (индивидуального задания) и формулы (1) рассчитываются  почасовые удельные затраты времени на обработку оператором одного входящего и исходящего сообщения. Для удобства результаты расчетов представлены в таблице 2.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Таблица 2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– 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Расчет удельных почасовых затрат времени на обработку сообщений</w:t>
          </w:r>
        </w:p>
        <w:tbl>
          <w:tblPr>
            <w:tblW w:w="0" w:type="auto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8"/>
            <w:gridCol w:w="867"/>
            <w:gridCol w:w="867"/>
            <w:gridCol w:w="894"/>
            <w:gridCol w:w="939"/>
            <w:gridCol w:w="939"/>
            <w:gridCol w:w="890"/>
          </w:tblGrid>
          <w:tr w:rsidR="004859A6" w:rsidRPr="00A0176E" w:rsidTr="001B67E3">
            <w:trPr>
              <w:tblHeader/>
            </w:trPr>
            <w:tc>
              <w:tcPr>
                <w:tcW w:w="0" w:type="auto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Часы</w:t>
                </w:r>
              </w:p>
            </w:tc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Входящие сообщения</w:t>
                </w:r>
              </w:p>
            </w:tc>
            <w:tc>
              <w:tcPr>
                <w:tcW w:w="0" w:type="auto"/>
                <w:gridSpan w:val="3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Исходящие сообщения</w:t>
                </w:r>
              </w:p>
            </w:tc>
          </w:tr>
          <w:tr w:rsidR="004859A6" w:rsidRPr="00A0176E" w:rsidTr="001B67E3">
            <w:trPr>
              <w:tblHeader/>
            </w:trPr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368300" cy="249555"/>
                      <wp:effectExtent l="19050" t="0" r="0" b="0"/>
                      <wp:docPr id="28" name="Рисунок 28" descr="http://vunivere.ru/workbase/00/04/64/62/images/image0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http://vunivere.ru/workbase/00/04/64/62/images/image029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0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368300" cy="249555"/>
                      <wp:effectExtent l="19050" t="0" r="0" b="0"/>
                      <wp:docPr id="29" name="Рисунок 29" descr="http://vunivere.ru/workbase/00/04/64/62/images/image03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http://vunivere.ru/workbase/00/04/64/62/images/image030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0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285115" cy="237490"/>
                      <wp:effectExtent l="0" t="0" r="635" b="0"/>
                      <wp:docPr id="30" name="Рисунок 30" descr="http://vunivere.ru/workbase/00/04/64/62/images/image03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http://vunivere.ru/workbase/00/04/64/62/images/image03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11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403860" cy="249555"/>
                      <wp:effectExtent l="19050" t="0" r="0" b="0"/>
                      <wp:docPr id="31" name="Рисунок 31" descr="http://vunivere.ru/workbase/00/04/64/62/images/image03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 descr="http://vunivere.ru/workbase/00/04/64/62/images/image032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8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403860" cy="225425"/>
                      <wp:effectExtent l="19050" t="0" r="0" b="0"/>
                      <wp:docPr id="32" name="Рисунок 32" descr="http://vunivere.ru/workbase/00/04/64/62/images/image0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 descr="http://vunivere.ru/workbase/00/04/64/62/images/image033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86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332740" cy="237490"/>
                      <wp:effectExtent l="0" t="0" r="0" b="0"/>
                      <wp:docPr id="33" name="Рисунок 33" descr="http://vunivere.ru/workbase/00/04/64/62/images/image0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http://vunivere.ru/workbase/00/04/64/62/images/image034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274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0,67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0,40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0,54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0,34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0,47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0,20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21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0,30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0,58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0,43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17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0,34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0,50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0,20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0,50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0,13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0,33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0,15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0,16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11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0,30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1,00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0,44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Итого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363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0,554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190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0,294</w:t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Результаты расчетов представлены на графиках почасовых удельных затрат времени, на которых нанесены значения средних удельных затрат времени. На основе анализа изменения параметра, представленного на графике, определяются фазы работы оператора (рисунки 2 и 3).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8359"/>
            <w:gridCol w:w="6"/>
            <w:gridCol w:w="70"/>
          </w:tblGrid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rHeight w:val="429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5307965" cy="2719705"/>
                      <wp:effectExtent l="0" t="0" r="0" b="0"/>
                      <wp:docPr id="34" name="Рисунок 34" descr="http://vunivere.ru/workbase/00/04/64/62/images/image03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http://vunivere.ru/workbase/00/04/64/62/images/image03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7965" cy="271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rHeight w:val="162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rHeight w:val="765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gridSpan w:val="2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0"/>
                </w:tblGrid>
                <w:tr w:rsidR="004859A6" w:rsidRPr="00A0176E" w:rsidTr="001B67E3">
                  <w:tc>
                    <w:tcPr>
                      <w:tcW w:w="0" w:type="auto"/>
                      <w:vAlign w:val="center"/>
                      <w:hideMark/>
                    </w:tcPr>
                    <w:p w:rsidR="004859A6" w:rsidRPr="00A0176E" w:rsidRDefault="004859A6" w:rsidP="001D49C8">
                      <w:pPr>
                        <w:framePr w:hSpace="45" w:wrap="around" w:vAnchor="text" w:hAnchor="text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 </w:t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71120" cy="71120"/>
                <wp:effectExtent l="19050" t="0" r="5080" b="0"/>
                <wp:docPr id="35" name="Рисунок 35" descr="http://vunivere.ru/workbase/00/04/64/62/images/image03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http://vunivere.ru/workbase/00/04/64/62/images/image03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Рисунок 2 – График изменения почасовых удельных затрат времени</w:t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оператором на переработку входящих сообщений в течение рабочей смены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Аналогичным образом строится график почасовых удельных затрат времени оператором  на переработку исходящих сообщений в течение рабочей смены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В соответствии с графиками определяем продолжительности фаз в работе оператора.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На рисунке 2 продолжительность фаз составила: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0,9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2,9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III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2,1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4,3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0,8 ч.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8303"/>
            <w:gridCol w:w="6"/>
            <w:gridCol w:w="578"/>
          </w:tblGrid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rHeight w:val="336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Merge w:val="restart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5272405" cy="2790825"/>
                      <wp:effectExtent l="0" t="0" r="0" b="0"/>
                      <wp:docPr id="36" name="Рисунок 36" descr="http://vunivere.ru/workbase/00/04/64/62/images/image03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 descr="http://vunivere.ru/workbase/00/04/64/62/images/image037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2405" cy="279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rHeight w:val="78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Merge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578"/>
                </w:tblGrid>
                <w:tr w:rsidR="004859A6" w:rsidRPr="00A0176E" w:rsidTr="001B67E3">
                  <w:tc>
                    <w:tcPr>
                      <w:tcW w:w="0" w:type="auto"/>
                      <w:vAlign w:val="center"/>
                      <w:hideMark/>
                    </w:tcPr>
                    <w:p w:rsidR="004859A6" w:rsidRPr="00A0176E" w:rsidRDefault="004859A6" w:rsidP="001D49C8">
                      <w:pPr>
                        <w:framePr w:hSpace="45" w:wrap="around" w:vAnchor="text" w:hAnchor="text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0176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часы</w:t>
                      </w:r>
                    </w:p>
                  </w:tc>
                </w:tr>
              </w:tbl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 </w:t>
                </w:r>
              </w:p>
            </w:tc>
          </w:tr>
          <w:tr w:rsidR="004859A6" w:rsidRPr="00A0176E" w:rsidTr="001B67E3">
            <w:trPr>
              <w:trHeight w:val="255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Merge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Рисунок 3 – График изменения почасовых удельных затрат времени оператором  на переработку исходящих сообщений в течение рабочей смены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На рисунке 3 продолжительность фаз составила:</w:t>
          </w:r>
        </w:p>
        <w:tbl>
          <w:tblPr>
            <w:tblW w:w="14400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4400"/>
          </w:tblGrid>
          <w:tr w:rsidR="004859A6" w:rsidRPr="00A0176E" w:rsidTr="001B67E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4859A6">
                <w:pPr>
                  <w:spacing w:after="0" w:line="36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4859A6">
                <w:pPr>
                  <w:spacing w:after="0" w:line="36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1,4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1,4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III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2,6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IV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4,8 ч;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  <w:vertAlign w:val="subscript"/>
            </w:rPr>
            <w:t>V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0,8 ч.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Согласно формуле (2) определяем коэффициент устойчивости работы оператора по обработке входящих и исходящих сообщений, для чего учитываем продолжительность фаз работы оператора, где удельные затраты времени на обработку сообщений меньше среднего значения (ниже линии, обозначающей средние удельные затраты времени на обработку сообщений).</w:t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356235" cy="320675"/>
                <wp:effectExtent l="0" t="0" r="0" b="0"/>
                <wp:docPr id="51" name="Рисунок 51" descr="http://vunivere.ru/workbase/00/04/64/62/images/image03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http://vunivere.ru/workbase/00/04/64/62/images/image03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(2,9 + 4,3)/12 = 0,6;</w:t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379730" cy="320675"/>
                <wp:effectExtent l="0" t="0" r="1270" b="0"/>
                <wp:docPr id="52" name="Рисунок 52" descr="http://vunivere.ru/workbase/00/04/64/62/images/image03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http://vunivere.ru/workbase/00/04/64/62/images/image039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(1,4 + 4,8)/12 = 0,517.</w:t>
          </w:r>
        </w:p>
        <w:p w:rsidR="004859A6" w:rsidRPr="00A0176E" w:rsidRDefault="004859A6" w:rsidP="004859A6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Вывод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Так как в обоих случаях коэффициент &lt; 0,65, то работа оператора является нестабильной. Поэтому необходимо разработать мероприятия, обеспечивающие устойчивое выполнение оператором возложенных на него функций.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Определим непрерывную продолжительность рабочей смены оператора по изменению его физической характеристики на звуковой сигнал. Для этого используются данные, приведенные в таблице 3.1 задания на индивидуальные работы. Например, даны изменения времени реакции оператора на протяжении рабочей смены в миллисекундах (таблица 3).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Таблица 3 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–  </w:t>
          </w: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Изменения  времени  реакции  оператора  на протяжении  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                          рабочей смены</w:t>
          </w:r>
        </w:p>
        <w:tbl>
          <w:tblPr>
            <w:tblW w:w="0" w:type="auto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70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435"/>
            <w:gridCol w:w="735"/>
          </w:tblGrid>
          <w:tr w:rsidR="004859A6" w:rsidRPr="00A0176E" w:rsidTr="001B67E3">
            <w:tc>
              <w:tcPr>
                <w:tcW w:w="0" w:type="auto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Параметр</w:t>
                </w:r>
              </w:p>
            </w:tc>
            <w:tc>
              <w:tcPr>
                <w:tcW w:w="0" w:type="auto"/>
                <w:gridSpan w:val="1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Часы</w:t>
                </w:r>
              </w:p>
            </w:tc>
            <w:tc>
              <w:tcPr>
                <w:tcW w:w="0" w:type="auto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Итого</w:t>
                </w:r>
              </w:p>
            </w:tc>
          </w:tr>
          <w:tr w:rsidR="004859A6" w:rsidRPr="00A0176E" w:rsidTr="001B67E3"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11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12</w:t>
                </w:r>
              </w:p>
            </w:tc>
            <w:tc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</w:rPr>
                  <w:t>M </w:t>
                </w: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[t]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135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175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190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205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200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1990</w:t>
                </w:r>
              </w:p>
            </w:tc>
          </w:tr>
          <w:tr w:rsidR="004859A6" w:rsidRPr="00A0176E" w:rsidTr="001B67E3"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σ</w:t>
                </w: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  <w:vertAlign w:val="superscript"/>
                  </w:rPr>
                  <w:t>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855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545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782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965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915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614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715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911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815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716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915</w:t>
                </w:r>
              </w:p>
            </w:tc>
            <w:tc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9393</w:t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По данным таблицы 3 строится график изменения времени реакции оператора на протяжении рабочей смены (рисунок 4).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Значение среднего математического ожидания времени реакции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722"/>
          </w:tblGrid>
          <w:tr w:rsidR="004859A6" w:rsidRPr="00A0176E" w:rsidTr="001B67E3">
            <w:trPr>
              <w:gridAfter w:val="1"/>
              <w:trHeight w:val="87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439420" cy="510540"/>
                      <wp:effectExtent l="19050" t="0" r="0" b="0"/>
                      <wp:docPr id="53" name="Рисунок 53" descr="http://vunivere.ru/workbase/00/04/64/62/images/image0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http://vunivere.ru/workbase/00/04/64/62/images/image040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42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= ∑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М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р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]/12 = 1990/12 = 165,83 мс и среднее значение дисперсии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722"/>
            <w:gridCol w:w="6"/>
            <w:gridCol w:w="898"/>
          </w:tblGrid>
          <w:tr w:rsidR="004859A6" w:rsidRPr="00A0176E" w:rsidTr="001B67E3">
            <w:trPr>
              <w:trHeight w:val="105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rHeight w:val="81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439420" cy="510540"/>
                      <wp:effectExtent l="19050" t="0" r="0" b="0"/>
                      <wp:docPr id="54" name="Рисунок 54" descr="http://vunivere.ru/workbase/00/04/64/62/images/image0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 descr="http://vunivere.ru/workbase/00/04/64/62/images/image0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42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570230" cy="510540"/>
                      <wp:effectExtent l="0" t="0" r="0" b="0"/>
                      <wp:docPr id="55" name="Рисунок 55" descr="http://vunivere.ru/workbase/00/04/64/62/images/image0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 descr="http://vunivere.ru/workbase/00/04/64/62/images/image042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23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          = ∑σ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perscript"/>
            </w:rPr>
            <w:t>2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[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р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]/12 = 9393/12 = 782,75 мс.</w:t>
          </w: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4859A6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Дополнительное время, используемое на обработку входящих и исходящих сообщений с учетом параметров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N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1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N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2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10;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к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1,74 (см. таблицу 1), определяется по формуле (6)</w:t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2054225" cy="534670"/>
                <wp:effectExtent l="19050" t="0" r="3175" b="0"/>
                <wp:docPr id="56" name="Рисунок 56" descr="http://vunivere.ru/workbase/00/04/64/62/images/image0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http://vunivere.ru/workbase/00/04/64/62/images/image04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21,77 мс.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722"/>
          </w:tblGrid>
          <w:tr w:rsidR="004859A6" w:rsidRPr="00A0176E" w:rsidTr="001B67E3">
            <w:trPr>
              <w:gridAfter w:val="1"/>
              <w:trHeight w:val="159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439420" cy="510540"/>
                      <wp:effectExtent l="19050" t="0" r="0" b="0"/>
                      <wp:docPr id="57" name="Рисунок 57" descr="http://vunivere.ru/workbase/00/04/64/62/images/image04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 descr="http://vunivere.ru/workbase/00/04/64/62/images/image044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42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Тогда            + 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доп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= 165,83 + 21,77 = 187,6 мс.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8240"/>
          </w:tblGrid>
          <w:tr w:rsidR="004859A6" w:rsidRPr="00A0176E" w:rsidTr="001B67E3">
            <w:trPr>
              <w:gridAfter w:val="1"/>
              <w:trHeight w:val="1740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A0176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5213350" cy="3028315"/>
                      <wp:effectExtent l="19050" t="0" r="0" b="0"/>
                      <wp:docPr id="58" name="Рисунок 58" descr="http://vunivere.ru/workbase/00/04/64/62/images/image04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 descr="http://vunivere.ru/workbase/00/04/64/62/images/image04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13350" cy="3028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br w:type="textWrapping" w:clear="all"/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Рисунок 4 – График изменения времени реакции оператора на протяжении</w:t>
          </w: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рабочей смены</w:t>
          </w:r>
        </w:p>
        <w:tbl>
          <w:tblPr>
            <w:tblpPr w:leftFromText="45" w:rightFromText="45" w:vertAnchor="text"/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"/>
            <w:gridCol w:w="6"/>
          </w:tblGrid>
          <w:tr w:rsidR="004859A6" w:rsidRPr="00A0176E" w:rsidTr="001B67E3">
            <w:trPr>
              <w:gridAfter w:val="1"/>
              <w:trHeight w:val="2655"/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4859A6" w:rsidRPr="00A0176E" w:rsidTr="001B67E3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:rsidR="004859A6" w:rsidRPr="00A0176E" w:rsidRDefault="004859A6" w:rsidP="001B67E3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225425" cy="225425"/>
                <wp:effectExtent l="19050" t="0" r="0" b="0"/>
                <wp:docPr id="4" name="Рисунок 60" descr="http://vunivere.ru/workbase/00/04/64/62/images/image0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http://vunivere.ru/workbase/00/04/64/62/images/image047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На графике (см. рисунок 4) проводится прямая           + </w:t>
          </w: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t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  <w:vertAlign w:val="subscript"/>
            </w:rPr>
            <w:t>доп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 и из точки ее пересечения с линией изменения исследуемого параметра проводится перпендикуляр на ось времени. Полученная точка (    = 9,8 ч или 81,7 %  рабочего времени) и будет характеризовать непрерывную продолжительность рабочей смены оператора.</w:t>
          </w:r>
        </w:p>
        <w:p w:rsidR="004859A6" w:rsidRPr="00A0176E" w:rsidRDefault="004859A6" w:rsidP="004859A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i/>
              <w:iCs/>
              <w:color w:val="000000"/>
              <w:sz w:val="28"/>
              <w:szCs w:val="28"/>
            </w:rPr>
            <w:t>Вывод</w:t>
          </w: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 Сравнивая полученную продолжительность непрерывной работы оператора с нормативными значениями (приложение Г) можно сделать вывод о том, что нагрузка оператора является средней.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4859A6" w:rsidRPr="00A0176E" w:rsidRDefault="004859A6" w:rsidP="004859A6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Контрольные вопросы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 Роль человека в СЧМ.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 Назовите основные фазы «кривой» работы человека и дайте их характеристику.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3 Назовите основные виды напряженности работы оператора, дайте их характеристику.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 Порядок определения коэффициента устойчивости работы оператора по обработке сообщений.</w:t>
          </w:r>
        </w:p>
        <w:p w:rsidR="004859A6" w:rsidRPr="00A0176E" w:rsidRDefault="004859A6" w:rsidP="004859A6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0176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 Порядок определения продолжительности непрерывной работы оператора в течение смены.</w:t>
          </w:r>
        </w:p>
        <w:p w:rsidR="004859A6" w:rsidRPr="004859A6" w:rsidRDefault="004E558F" w:rsidP="004859A6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2869FB" w:rsidRPr="004859A6" w:rsidRDefault="002869FB" w:rsidP="004859A6">
      <w:pPr>
        <w:spacing w:line="360" w:lineRule="auto"/>
        <w:rPr>
          <w:sz w:val="28"/>
          <w:szCs w:val="28"/>
        </w:rPr>
      </w:pPr>
    </w:p>
    <w:sectPr w:rsidR="002869FB" w:rsidRPr="004859A6" w:rsidSect="004859A6">
      <w:footerReference w:type="default" r:id="rId3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58F" w:rsidRDefault="004E558F" w:rsidP="004859A6">
      <w:pPr>
        <w:spacing w:after="0" w:line="240" w:lineRule="auto"/>
      </w:pPr>
      <w:r>
        <w:separator/>
      </w:r>
    </w:p>
  </w:endnote>
  <w:endnote w:type="continuationSeparator" w:id="0">
    <w:p w:rsidR="004E558F" w:rsidRDefault="004E558F" w:rsidP="0048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762"/>
      <w:docPartObj>
        <w:docPartGallery w:val="Page Numbers (Bottom of Page)"/>
        <w:docPartUnique/>
      </w:docPartObj>
    </w:sdtPr>
    <w:sdtEndPr/>
    <w:sdtContent>
      <w:p w:rsidR="004859A6" w:rsidRDefault="004E55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9A6" w:rsidRDefault="004859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58F" w:rsidRDefault="004E558F" w:rsidP="004859A6">
      <w:pPr>
        <w:spacing w:after="0" w:line="240" w:lineRule="auto"/>
      </w:pPr>
      <w:r>
        <w:separator/>
      </w:r>
    </w:p>
  </w:footnote>
  <w:footnote w:type="continuationSeparator" w:id="0">
    <w:p w:rsidR="004E558F" w:rsidRDefault="004E558F" w:rsidP="0048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9A6"/>
    <w:rsid w:val="001D49C8"/>
    <w:rsid w:val="002869FB"/>
    <w:rsid w:val="004859A6"/>
    <w:rsid w:val="004E558F"/>
    <w:rsid w:val="00523993"/>
    <w:rsid w:val="00B80AE0"/>
    <w:rsid w:val="00C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BC5"/>
  <w15:docId w15:val="{A4179AD3-ADC4-4A94-A025-06905052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59A6"/>
  </w:style>
  <w:style w:type="paragraph" w:styleId="a7">
    <w:name w:val="footer"/>
    <w:basedOn w:val="a"/>
    <w:link w:val="a8"/>
    <w:uiPriority w:val="99"/>
    <w:unhideWhenUsed/>
    <w:rsid w:val="0048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986-AA6D-4F5B-8327-2D902404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пк6</dc:creator>
  <cp:lastModifiedBy>Павел Егоров</cp:lastModifiedBy>
  <cp:revision>3</cp:revision>
  <dcterms:created xsi:type="dcterms:W3CDTF">2015-04-22T02:23:00Z</dcterms:created>
  <dcterms:modified xsi:type="dcterms:W3CDTF">2020-04-14T23:40:00Z</dcterms:modified>
</cp:coreProperties>
</file>