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9B2E" w14:textId="20E33F1A" w:rsidR="00DE7C63" w:rsidRDefault="00DE7C63" w:rsidP="00DE7C63">
      <w:pPr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 xml:space="preserve">Занятие №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06461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Дата_____________________</w:t>
      </w:r>
    </w:p>
    <w:p w14:paraId="5F3DF366" w14:textId="009365E4" w:rsidR="00DE7C63" w:rsidRPr="00064612" w:rsidRDefault="00DE7C63" w:rsidP="00DE7C63">
      <w:pPr>
        <w:jc w:val="center"/>
        <w:rPr>
          <w:rFonts w:asciiTheme="minorHAnsi" w:hAnsiTheme="minorHAnsi"/>
          <w:b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 xml:space="preserve">Тема: </w:t>
      </w:r>
      <w:proofErr w:type="spellStart"/>
      <w:r w:rsidRPr="00064612">
        <w:rPr>
          <w:rFonts w:ascii="Times New Roman" w:hAnsi="Times New Roman"/>
          <w:b/>
          <w:sz w:val="24"/>
          <w:szCs w:val="24"/>
          <w:lang w:val="ru-RU"/>
        </w:rPr>
        <w:t>Противоинфекционный</w:t>
      </w:r>
      <w:proofErr w:type="spellEnd"/>
      <w:r w:rsidRPr="00064612">
        <w:rPr>
          <w:rFonts w:ascii="Times New Roman" w:hAnsi="Times New Roman"/>
          <w:b/>
          <w:sz w:val="24"/>
          <w:szCs w:val="24"/>
          <w:lang w:val="ru-RU"/>
        </w:rPr>
        <w:t xml:space="preserve"> иммун</w:t>
      </w:r>
      <w:r>
        <w:rPr>
          <w:rFonts w:ascii="Times New Roman" w:hAnsi="Times New Roman"/>
          <w:b/>
          <w:sz w:val="24"/>
          <w:szCs w:val="24"/>
          <w:lang w:val="ru-RU"/>
        </w:rPr>
        <w:t>итет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14:paraId="66AF7907" w14:textId="77777777" w:rsidR="00DE7C63" w:rsidRPr="00064612" w:rsidRDefault="00DE7C63" w:rsidP="00DE7C63">
      <w:pPr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Основные вопросы, разбираемые на занятии:</w:t>
      </w:r>
    </w:p>
    <w:p w14:paraId="74C2EDBD" w14:textId="77777777" w:rsidR="00DE7C63" w:rsidRPr="00064612" w:rsidRDefault="00DE7C63" w:rsidP="00DE7C6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1. Понятие о естественном и искусственном, активном и пассивном, общем и местном, постинфекционном и инфекционном (нестерильном) типах иммунитета.</w:t>
      </w:r>
    </w:p>
    <w:p w14:paraId="75275096" w14:textId="77777777" w:rsidR="00DE7C63" w:rsidRPr="00064612" w:rsidRDefault="00DE7C63" w:rsidP="00DE7C6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2. Иммунитет против вне- и внутриклеточных паразитов.</w:t>
      </w:r>
    </w:p>
    <w:p w14:paraId="004B7E1C" w14:textId="77777777" w:rsidR="00DE7C63" w:rsidRPr="00064612" w:rsidRDefault="00DE7C63" w:rsidP="00DE7C6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 xml:space="preserve">3. Механизмы иммунной инактивации бактерий, грибов, простейших, вирусов и выделяемых ими токсинов и </w:t>
      </w:r>
      <w:proofErr w:type="spellStart"/>
      <w:r w:rsidRPr="00064612">
        <w:rPr>
          <w:rFonts w:ascii="Times New Roman" w:hAnsi="Times New Roman"/>
          <w:sz w:val="24"/>
          <w:szCs w:val="24"/>
          <w:lang w:val="ru-RU"/>
        </w:rPr>
        <w:t>экзоферментов</w:t>
      </w:r>
      <w:proofErr w:type="spellEnd"/>
      <w:r w:rsidRPr="00064612">
        <w:rPr>
          <w:rFonts w:ascii="Times New Roman" w:hAnsi="Times New Roman"/>
          <w:sz w:val="24"/>
          <w:szCs w:val="24"/>
          <w:lang w:val="ru-RU"/>
        </w:rPr>
        <w:t>.</w:t>
      </w:r>
    </w:p>
    <w:p w14:paraId="6B31B623" w14:textId="77777777" w:rsidR="00DE7C63" w:rsidRPr="00064612" w:rsidRDefault="00DE7C63" w:rsidP="00DE7C6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64612">
        <w:rPr>
          <w:rFonts w:ascii="Times New Roman" w:hAnsi="Times New Roman"/>
          <w:sz w:val="24"/>
          <w:szCs w:val="24"/>
          <w:lang w:val="ru-RU"/>
        </w:rPr>
        <w:t>4. Противоопухолевый иммунитет. Механизмы трансплантационного иммунитета.</w:t>
      </w:r>
    </w:p>
    <w:p w14:paraId="6D253EDF" w14:textId="77777777" w:rsidR="00DE7C63" w:rsidRDefault="00DE7C63" w:rsidP="00DE7C6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З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Pr="00064612">
        <w:rPr>
          <w:rFonts w:ascii="Times New Roman" w:hAnsi="Times New Roman"/>
          <w:b/>
          <w:sz w:val="24"/>
          <w:szCs w:val="24"/>
          <w:lang w:val="ru-RU"/>
        </w:rPr>
        <w:t>дание №1. Впишите в таблицу краткие характеристики различных видов иммунитета.</w:t>
      </w:r>
    </w:p>
    <w:tbl>
      <w:tblPr>
        <w:tblStyle w:val="a3"/>
        <w:tblW w:w="9085" w:type="dxa"/>
        <w:tblLook w:val="04A0" w:firstRow="1" w:lastRow="0" w:firstColumn="1" w:lastColumn="0" w:noHBand="0" w:noVBand="1"/>
      </w:tblPr>
      <w:tblGrid>
        <w:gridCol w:w="4203"/>
        <w:gridCol w:w="4882"/>
      </w:tblGrid>
      <w:tr w:rsidR="00DE7C63" w14:paraId="4C794DC2" w14:textId="77777777" w:rsidTr="006D399C">
        <w:trPr>
          <w:trHeight w:val="450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D74A" w14:textId="77777777" w:rsidR="00DE7C63" w:rsidRDefault="00DE7C63" w:rsidP="006D3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Естественный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0979" w14:textId="77777777" w:rsidR="00DE7C63" w:rsidRDefault="00DE7C63" w:rsidP="006D3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Искусственный</w:t>
            </w:r>
            <w:proofErr w:type="spellEnd"/>
          </w:p>
        </w:tc>
      </w:tr>
      <w:tr w:rsidR="00DE7C63" w14:paraId="41E112AA" w14:textId="77777777" w:rsidTr="006D399C">
        <w:trPr>
          <w:trHeight w:val="1513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ED68" w14:textId="77777777" w:rsidR="00DE7C63" w:rsidRDefault="00DE7C63" w:rsidP="006D3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9821" w14:textId="77777777" w:rsidR="00DE7C63" w:rsidRDefault="00DE7C63" w:rsidP="006D3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C63" w14:paraId="0F51F6F7" w14:textId="77777777" w:rsidTr="006D399C">
        <w:trPr>
          <w:trHeight w:val="252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D414" w14:textId="77777777" w:rsidR="00DE7C63" w:rsidRDefault="00DE7C63" w:rsidP="006D3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Активный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F8AD" w14:textId="77777777" w:rsidR="00DE7C63" w:rsidRDefault="00DE7C63" w:rsidP="006D3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Пассивный</w:t>
            </w:r>
            <w:proofErr w:type="spellEnd"/>
          </w:p>
        </w:tc>
      </w:tr>
      <w:tr w:rsidR="00DE7C63" w14:paraId="7EAC009F" w14:textId="77777777" w:rsidTr="006D399C">
        <w:trPr>
          <w:trHeight w:val="1540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2DC8" w14:textId="77777777" w:rsidR="00DE7C63" w:rsidRDefault="00DE7C63" w:rsidP="006D3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3981" w14:textId="77777777" w:rsidR="00DE7C63" w:rsidRDefault="00DE7C63" w:rsidP="006D3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C63" w14:paraId="1E238626" w14:textId="77777777" w:rsidTr="006D399C">
        <w:trPr>
          <w:trHeight w:val="313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D038" w14:textId="77777777" w:rsidR="00DE7C63" w:rsidRDefault="00DE7C63" w:rsidP="006D3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C2F1" w14:textId="77777777" w:rsidR="00DE7C63" w:rsidRDefault="00DE7C63" w:rsidP="006D3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spellEnd"/>
          </w:p>
        </w:tc>
      </w:tr>
      <w:tr w:rsidR="00DE7C63" w14:paraId="54735AB8" w14:textId="77777777" w:rsidTr="006D399C">
        <w:trPr>
          <w:trHeight w:val="166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172D" w14:textId="77777777" w:rsidR="00DE7C63" w:rsidRDefault="00DE7C63" w:rsidP="006D3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FC1B" w14:textId="77777777" w:rsidR="00DE7C63" w:rsidRDefault="00DE7C63" w:rsidP="006D3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C63" w14:paraId="2FD245CC" w14:textId="77777777" w:rsidTr="006D399C">
        <w:trPr>
          <w:trHeight w:val="418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268C" w14:textId="77777777" w:rsidR="00DE7C63" w:rsidRDefault="00DE7C63" w:rsidP="006D3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Инфекционный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нестерильный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C3AB" w14:textId="77777777" w:rsidR="00DE7C63" w:rsidRDefault="00DE7C63" w:rsidP="006D3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Постинфекционный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стерильный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E7C63" w14:paraId="6BE05231" w14:textId="77777777" w:rsidTr="006D399C">
        <w:trPr>
          <w:trHeight w:val="2293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724F" w14:textId="77777777" w:rsidR="00DE7C63" w:rsidRDefault="00DE7C63" w:rsidP="006D3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1A51" w14:textId="77777777" w:rsidR="00DE7C63" w:rsidRDefault="00DE7C63" w:rsidP="006D3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BE078E" w14:textId="77777777" w:rsidR="00DE7C63" w:rsidRDefault="00DE7C63" w:rsidP="00DE7C63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70349FD6" w14:textId="77777777" w:rsidR="00DE7C63" w:rsidRPr="00064612" w:rsidRDefault="00DE7C63" w:rsidP="00DE7C6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Задание №2. Заполните таблицу механизмы инактивации бактерий.</w:t>
      </w:r>
    </w:p>
    <w:tbl>
      <w:tblPr>
        <w:tblStyle w:val="a3"/>
        <w:tblW w:w="9510" w:type="dxa"/>
        <w:jc w:val="center"/>
        <w:tblLayout w:type="fixed"/>
        <w:tblLook w:val="04A0" w:firstRow="1" w:lastRow="0" w:firstColumn="1" w:lastColumn="0" w:noHBand="0" w:noVBand="1"/>
      </w:tblPr>
      <w:tblGrid>
        <w:gridCol w:w="2549"/>
        <w:gridCol w:w="6961"/>
      </w:tblGrid>
      <w:tr w:rsidR="00DE7C63" w:rsidRPr="00AB0BDC" w14:paraId="3DB1DF68" w14:textId="77777777" w:rsidTr="006D399C">
        <w:trPr>
          <w:trHeight w:val="4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B8FF" w14:textId="77777777" w:rsidR="00DE7C63" w:rsidRDefault="00DE7C63" w:rsidP="006D3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инактивации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бактерий</w:t>
            </w:r>
            <w:proofErr w:type="spellEnd"/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E9FA" w14:textId="77777777" w:rsidR="00DE7C63" w:rsidRPr="00064612" w:rsidRDefault="00DE7C63" w:rsidP="006D39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t>Рисунок-схема</w:t>
            </w:r>
            <w:proofErr w:type="gramEnd"/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отражающая механизм действия фактора</w:t>
            </w:r>
          </w:p>
        </w:tc>
      </w:tr>
      <w:tr w:rsidR="00DE7C63" w14:paraId="497B0014" w14:textId="77777777" w:rsidTr="006D399C">
        <w:trPr>
          <w:trHeight w:val="303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6C79" w14:textId="77777777" w:rsidR="00DE7C63" w:rsidRDefault="00DE7C63" w:rsidP="006D3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Фагоцитоз</w:t>
            </w:r>
            <w:proofErr w:type="spellEnd"/>
          </w:p>
          <w:p w14:paraId="4F525A0A" w14:textId="77777777" w:rsidR="00DE7C63" w:rsidRDefault="00DE7C63" w:rsidP="006D399C">
            <w:pPr>
              <w:ind w:lef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03AE" w14:textId="77777777" w:rsidR="00DE7C63" w:rsidRDefault="00DE7C63" w:rsidP="006D39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C63" w14:paraId="4BE266FF" w14:textId="77777777" w:rsidTr="006D399C">
        <w:trPr>
          <w:trHeight w:val="353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DF41" w14:textId="77777777" w:rsidR="00DE7C63" w:rsidRDefault="00DE7C63" w:rsidP="006D399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Антитела</w:t>
            </w:r>
            <w:proofErr w:type="spellEnd"/>
          </w:p>
          <w:p w14:paraId="4B8767E0" w14:textId="77777777" w:rsidR="00DE7C63" w:rsidRDefault="00DE7C63" w:rsidP="006D399C">
            <w:pPr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иммобилизация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бактериальных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клеток</w:t>
            </w:r>
            <w:proofErr w:type="spellEnd"/>
          </w:p>
          <w:p w14:paraId="24A8DD1C" w14:textId="77777777" w:rsidR="00DE7C63" w:rsidRDefault="00DE7C63" w:rsidP="006D399C">
            <w:pPr>
              <w:ind w:lef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41C0" w14:textId="77777777" w:rsidR="00DE7C63" w:rsidRDefault="00DE7C63" w:rsidP="006D39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C63" w14:paraId="4BB10207" w14:textId="77777777" w:rsidTr="006D399C">
        <w:trPr>
          <w:trHeight w:val="382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3567" w14:textId="77777777" w:rsidR="00DE7C63" w:rsidRDefault="00DE7C63" w:rsidP="006D399C">
            <w:pPr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опсонизация</w:t>
            </w:r>
            <w:proofErr w:type="spellEnd"/>
          </w:p>
          <w:p w14:paraId="688B986B" w14:textId="77777777" w:rsidR="00DE7C63" w:rsidRDefault="00DE7C63" w:rsidP="006D399C">
            <w:pPr>
              <w:ind w:lef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1F35" w14:textId="77777777" w:rsidR="00DE7C63" w:rsidRDefault="00DE7C63" w:rsidP="006D39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C63" w14:paraId="0C6505E3" w14:textId="77777777" w:rsidTr="006D399C">
        <w:trPr>
          <w:trHeight w:val="31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B536" w14:textId="77777777" w:rsidR="00DE7C63" w:rsidRDefault="00DE7C63" w:rsidP="006D399C">
            <w:pPr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блокировка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адгезии</w:t>
            </w:r>
            <w:proofErr w:type="spellEnd"/>
          </w:p>
          <w:p w14:paraId="1CDFBD53" w14:textId="77777777" w:rsidR="00DE7C63" w:rsidRDefault="00DE7C63" w:rsidP="006D399C">
            <w:pPr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16C" w14:textId="77777777" w:rsidR="00DE7C63" w:rsidRDefault="00DE7C63" w:rsidP="006D39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C63" w14:paraId="68345C24" w14:textId="77777777" w:rsidTr="006D399C">
        <w:trPr>
          <w:trHeight w:val="368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8D4A" w14:textId="77777777" w:rsidR="00DE7C63" w:rsidRDefault="00DE7C63" w:rsidP="006D399C">
            <w:pPr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копмлемента</w:t>
            </w:r>
            <w:proofErr w:type="spellEnd"/>
          </w:p>
          <w:p w14:paraId="75FC0FB8" w14:textId="77777777" w:rsidR="00DE7C63" w:rsidRDefault="00DE7C63" w:rsidP="006D399C">
            <w:pPr>
              <w:ind w:left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FCC1" w14:textId="77777777" w:rsidR="00DE7C63" w:rsidRDefault="00DE7C63" w:rsidP="006D39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C63" w14:paraId="5DF6CD15" w14:textId="77777777" w:rsidTr="006D399C">
        <w:trPr>
          <w:trHeight w:val="353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BDBA" w14:textId="77777777" w:rsidR="00DE7C63" w:rsidRDefault="00DE7C63" w:rsidP="006D399C">
            <w:pPr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нейтрализация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токсинов</w:t>
            </w:r>
            <w:proofErr w:type="spellEnd"/>
          </w:p>
          <w:p w14:paraId="45DE4A95" w14:textId="77777777" w:rsidR="00DE7C63" w:rsidRDefault="00DE7C63" w:rsidP="006D399C">
            <w:pPr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10F0" w14:textId="77777777" w:rsidR="00DE7C63" w:rsidRDefault="00DE7C63" w:rsidP="006D39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C63" w:rsidRPr="00AB0BDC" w14:paraId="1A929396" w14:textId="77777777" w:rsidTr="006D399C">
        <w:trPr>
          <w:trHeight w:val="38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8F3F" w14:textId="77777777" w:rsidR="00DE7C63" w:rsidRPr="00064612" w:rsidRDefault="00DE7C63" w:rsidP="006D399C">
            <w:pPr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t>е) блокировка поверхностных молекул, обладающих патогенным действием</w:t>
            </w:r>
          </w:p>
          <w:p w14:paraId="42523DF3" w14:textId="77777777" w:rsidR="00DE7C63" w:rsidRPr="00064612" w:rsidRDefault="00DE7C63" w:rsidP="006D399C">
            <w:pPr>
              <w:ind w:left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79DA" w14:textId="77777777" w:rsidR="00DE7C63" w:rsidRPr="00064612" w:rsidRDefault="00DE7C63" w:rsidP="006D39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C63" w:rsidRPr="00AB0BDC" w14:paraId="32E26FF3" w14:textId="77777777" w:rsidTr="006D399C">
        <w:trPr>
          <w:trHeight w:val="368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B0D8" w14:textId="77777777" w:rsidR="00DE7C63" w:rsidRPr="00064612" w:rsidRDefault="00DE7C63" w:rsidP="006D399C">
            <w:pPr>
              <w:ind w:left="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3) Лизоцим и другие неспецифические гуморальные факторы</w:t>
            </w:r>
          </w:p>
          <w:p w14:paraId="74710FA7" w14:textId="77777777" w:rsidR="00DE7C63" w:rsidRPr="00064612" w:rsidRDefault="00DE7C63" w:rsidP="006D399C">
            <w:pPr>
              <w:ind w:left="17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7AEC" w14:textId="77777777" w:rsidR="00DE7C63" w:rsidRPr="00064612" w:rsidRDefault="00DE7C63" w:rsidP="006D39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3ED8A4E" w14:textId="77777777" w:rsidR="00DE7C63" w:rsidRDefault="00DE7C63" w:rsidP="00DE7C63">
      <w:pPr>
        <w:jc w:val="both"/>
        <w:rPr>
          <w:rFonts w:ascii="Times New Roman" w:hAnsi="Times New Roman"/>
          <w:b/>
          <w:sz w:val="24"/>
          <w:szCs w:val="24"/>
          <w:lang w:val="sah-RU" w:eastAsia="en-US"/>
        </w:rPr>
      </w:pPr>
    </w:p>
    <w:p w14:paraId="3ADFA1B0" w14:textId="77777777" w:rsidR="00DE7C63" w:rsidRDefault="00DE7C63" w:rsidP="00DE7C6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64612">
        <w:rPr>
          <w:rFonts w:ascii="Times New Roman" w:hAnsi="Times New Roman"/>
          <w:b/>
          <w:sz w:val="24"/>
          <w:szCs w:val="24"/>
          <w:lang w:val="ru-RU"/>
        </w:rPr>
        <w:t>Задание №3. Заполните таблицу «Механизмы противовирусного иммунитета».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5522"/>
      </w:tblGrid>
      <w:tr w:rsidR="00DE7C63" w14:paraId="7269E417" w14:textId="77777777" w:rsidTr="006D399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9E20" w14:textId="77777777" w:rsidR="00DE7C63" w:rsidRPr="00064612" w:rsidRDefault="00DE7C63" w:rsidP="006D399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t>Механизмы эффективные в отношении вирусов (описание)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0C84" w14:textId="77777777" w:rsidR="00DE7C63" w:rsidRDefault="00DE7C63" w:rsidP="006D3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Рисунок-схема</w:t>
            </w:r>
            <w:proofErr w:type="spellEnd"/>
          </w:p>
        </w:tc>
      </w:tr>
      <w:tr w:rsidR="00DE7C63" w14:paraId="279A32E3" w14:textId="77777777" w:rsidTr="006D399C">
        <w:trPr>
          <w:trHeight w:val="37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32C6" w14:textId="77777777" w:rsidR="00DE7C63" w:rsidRDefault="00DE7C63" w:rsidP="00DE7C63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Интефероны</w:t>
            </w:r>
            <w:proofErr w:type="spellEnd"/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CFD6" w14:textId="77777777" w:rsidR="00DE7C63" w:rsidRDefault="00DE7C63" w:rsidP="006D39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C63" w:rsidRPr="00AB0BDC" w14:paraId="1A15FBDD" w14:textId="77777777" w:rsidTr="006D399C">
        <w:trPr>
          <w:trHeight w:val="38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08E7" w14:textId="77777777" w:rsidR="00DE7C63" w:rsidRDefault="00DE7C63" w:rsidP="00DE7C63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Антитела</w:t>
            </w:r>
            <w:proofErr w:type="spellEnd"/>
          </w:p>
          <w:p w14:paraId="2D2568FA" w14:textId="77777777" w:rsidR="00DE7C63" w:rsidRDefault="00DE7C63" w:rsidP="006D39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38F73F" w14:textId="77777777" w:rsidR="00DE7C63" w:rsidRDefault="00DE7C63" w:rsidP="006D39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71D6C0" w14:textId="77777777" w:rsidR="00DE7C63" w:rsidRPr="00064612" w:rsidRDefault="00DE7C63" w:rsidP="006D39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t>а) блокировка специфических вирусных белков, ответственных за адгезию проникновение вируса в клетку</w:t>
            </w:r>
          </w:p>
          <w:p w14:paraId="05483355" w14:textId="77777777" w:rsidR="00DE7C63" w:rsidRPr="00064612" w:rsidRDefault="00DE7C63" w:rsidP="006D39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DE60478" w14:textId="77777777" w:rsidR="00DE7C63" w:rsidRPr="00064612" w:rsidRDefault="00DE7C63" w:rsidP="006D39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C463919" w14:textId="77777777" w:rsidR="00DE7C63" w:rsidRPr="00064612" w:rsidRDefault="00DE7C63" w:rsidP="006D39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530" w14:textId="77777777" w:rsidR="00DE7C63" w:rsidRPr="00064612" w:rsidRDefault="00DE7C63" w:rsidP="006D39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C63" w:rsidRPr="00AB0BDC" w14:paraId="6E458E14" w14:textId="77777777" w:rsidTr="006D399C">
        <w:trPr>
          <w:trHeight w:val="4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6A4" w14:textId="77777777" w:rsidR="00DE7C63" w:rsidRPr="00064612" w:rsidRDefault="00DE7C63" w:rsidP="006D39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5AD64C0" w14:textId="77777777" w:rsidR="00DE7C63" w:rsidRPr="00064612" w:rsidRDefault="00DE7C63" w:rsidP="006D39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FEE50E" w14:textId="77777777" w:rsidR="00DE7C63" w:rsidRPr="00064612" w:rsidRDefault="00DE7C63" w:rsidP="006D39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8A6129D" w14:textId="77777777" w:rsidR="00DE7C63" w:rsidRPr="00064612" w:rsidRDefault="00DE7C63" w:rsidP="006D39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индукция АЗКЦ (благодаря специфическому связыванию АТ с </w:t>
            </w:r>
            <w:proofErr w:type="spellStart"/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t>экспрессированными</w:t>
            </w:r>
            <w:proofErr w:type="spellEnd"/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поверхности клетки вирусными белками)</w:t>
            </w:r>
          </w:p>
          <w:p w14:paraId="16250AA6" w14:textId="77777777" w:rsidR="00DE7C63" w:rsidRPr="00064612" w:rsidRDefault="00DE7C63" w:rsidP="006D39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6162E4A" w14:textId="77777777" w:rsidR="00DE7C63" w:rsidRPr="00064612" w:rsidRDefault="00DE7C63" w:rsidP="006D39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BFA9843" w14:textId="77777777" w:rsidR="00DE7C63" w:rsidRPr="00064612" w:rsidRDefault="00DE7C63" w:rsidP="006D39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B011D7" w14:textId="77777777" w:rsidR="00DE7C63" w:rsidRPr="00064612" w:rsidRDefault="00DE7C63" w:rsidP="006D39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43B" w14:textId="77777777" w:rsidR="00DE7C63" w:rsidRPr="00064612" w:rsidRDefault="00DE7C63" w:rsidP="006D39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7C63" w:rsidRPr="00AB0BDC" w14:paraId="6E418251" w14:textId="77777777" w:rsidTr="006D399C">
        <w:trPr>
          <w:trHeight w:val="39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7C83" w14:textId="77777777" w:rsidR="00DE7C63" w:rsidRPr="00064612" w:rsidRDefault="00DE7C63" w:rsidP="00DE7C63">
            <w:pPr>
              <w:pStyle w:val="a4"/>
              <w:numPr>
                <w:ilvl w:val="0"/>
                <w:numId w:val="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6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Уничтожение клеток, пораженных вирусом цитотоксическими Т-лимфоцитами.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97C" w14:textId="77777777" w:rsidR="00DE7C63" w:rsidRPr="00064612" w:rsidRDefault="00DE7C63" w:rsidP="006D399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2314713" w14:textId="77777777" w:rsidR="00DE7C63" w:rsidRPr="00064612" w:rsidRDefault="00DE7C63" w:rsidP="00DE7C63">
      <w:pPr>
        <w:rPr>
          <w:rFonts w:ascii="Times New Roman" w:hAnsi="Times New Roman" w:cstheme="minorBidi"/>
          <w:sz w:val="24"/>
          <w:szCs w:val="24"/>
          <w:lang w:val="ru-RU" w:eastAsia="en-US"/>
        </w:rPr>
      </w:pPr>
    </w:p>
    <w:p w14:paraId="1780823D" w14:textId="77777777" w:rsidR="00DE7C63" w:rsidRDefault="00DE7C63" w:rsidP="00DE7C63">
      <w:pPr>
        <w:pStyle w:val="txt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Особенности противогрибкового иммунитета</w:t>
      </w:r>
    </w:p>
    <w:p w14:paraId="38112BF0" w14:textId="77777777" w:rsidR="00DE7C63" w:rsidRDefault="00DE7C63" w:rsidP="00DE7C63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Антигены грибов имеют относительно низкую иммуногенность: они практически не индуцируют антителообразование (титры специфических антител остаются низкими), но стимулируют клеточное звено иммунитета. Основными действующими факторами противогрибкового иммунитета являются активированные макрофаги, которые осуществляют АЗКЦТ грибов.</w:t>
      </w:r>
    </w:p>
    <w:p w14:paraId="05CF5E7F" w14:textId="77777777" w:rsidR="00DE7C63" w:rsidRDefault="00DE7C63" w:rsidP="00DE7C63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 микозах наблюдается </w:t>
      </w:r>
      <w:proofErr w:type="spellStart"/>
      <w:r>
        <w:rPr>
          <w:color w:val="000000"/>
        </w:rPr>
        <w:t>аллергизация</w:t>
      </w:r>
      <w:proofErr w:type="spellEnd"/>
      <w:r>
        <w:rPr>
          <w:color w:val="000000"/>
        </w:rPr>
        <w:t xml:space="preserve"> макроорганизма. Кожные и глубокие микозы сопровождаются, как правило, ГЗТ. Грибковые поражения слизистых оболочек дыхательных и мочеполовых путей вызывают </w:t>
      </w:r>
      <w:proofErr w:type="spellStart"/>
      <w:r>
        <w:rPr>
          <w:color w:val="000000"/>
        </w:rPr>
        <w:t>аллергизацию</w:t>
      </w:r>
      <w:proofErr w:type="spellEnd"/>
      <w:r>
        <w:rPr>
          <w:color w:val="000000"/>
        </w:rPr>
        <w:t xml:space="preserve"> по механизму ГНТ (реакция I типа). Напряженность противогрибкового иммунитета оценивается по результатам кожно-аллергических проб с грибковыми аллергенами.</w:t>
      </w:r>
    </w:p>
    <w:p w14:paraId="7F68EC79" w14:textId="77777777" w:rsidR="00DE7C63" w:rsidRDefault="00DE7C63" w:rsidP="00DE7C63">
      <w:pPr>
        <w:pStyle w:val="txt"/>
        <w:spacing w:before="0" w:beforeAutospacing="0" w:after="0" w:afterAutospacing="0"/>
        <w:jc w:val="both"/>
        <w:rPr>
          <w:color w:val="000000"/>
        </w:rPr>
      </w:pPr>
    </w:p>
    <w:p w14:paraId="7744E2F4" w14:textId="77777777" w:rsidR="00DE7C63" w:rsidRDefault="00DE7C63" w:rsidP="00DE7C63">
      <w:pPr>
        <w:pStyle w:val="txt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Особенности иммунитета при протозойных инвазиях</w:t>
      </w:r>
    </w:p>
    <w:p w14:paraId="28C3945E" w14:textId="77777777" w:rsidR="00DE7C63" w:rsidRDefault="00DE7C63" w:rsidP="00DE7C63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Паразитарная инвазия сопровождается формированием в макроорганизме гуморального и клеточного иммунитета. В крови определяются специфические антитела классов M и G, которые чаще всего не обладают </w:t>
      </w:r>
      <w:proofErr w:type="spellStart"/>
      <w:r>
        <w:rPr>
          <w:color w:val="000000"/>
        </w:rPr>
        <w:t>протективным</w:t>
      </w:r>
      <w:proofErr w:type="spellEnd"/>
      <w:r>
        <w:rPr>
          <w:color w:val="000000"/>
        </w:rPr>
        <w:t xml:space="preserve"> свойством. Однако они активируют АЗКЦТ с участием макрофагов, а в случае внутриклеточного паразитирования - естественных </w:t>
      </w:r>
      <w:r>
        <w:rPr>
          <w:color w:val="000000"/>
        </w:rPr>
        <w:lastRenderedPageBreak/>
        <w:t xml:space="preserve">киллеров и </w:t>
      </w:r>
      <w:proofErr w:type="spellStart"/>
      <w:r>
        <w:rPr>
          <w:color w:val="000000"/>
        </w:rPr>
        <w:t>γδT</w:t>
      </w:r>
      <w:proofErr w:type="spellEnd"/>
      <w:r>
        <w:rPr>
          <w:color w:val="000000"/>
        </w:rPr>
        <w:t xml:space="preserve"> лимфоцитов. Паразитарные инвазии </w:t>
      </w:r>
      <w:proofErr w:type="spellStart"/>
      <w:r>
        <w:rPr>
          <w:color w:val="000000"/>
        </w:rPr>
        <w:t>соспровождаются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аллергизацией</w:t>
      </w:r>
      <w:proofErr w:type="spellEnd"/>
      <w:r>
        <w:rPr>
          <w:color w:val="000000"/>
        </w:rPr>
        <w:t xml:space="preserve"> макроорганизма по механизму ГЗТ.</w:t>
      </w:r>
    </w:p>
    <w:p w14:paraId="721F9903" w14:textId="77777777" w:rsidR="00DE7C63" w:rsidRDefault="00DE7C63" w:rsidP="00DE7C63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Характер противопаразитарного иммунитета определяется биологическими особенностями паразита. Многие паразиты обладают</w:t>
      </w:r>
    </w:p>
    <w:p w14:paraId="413DF124" w14:textId="77777777" w:rsidR="00DE7C63" w:rsidRDefault="00DE7C63" w:rsidP="00DE7C63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высокой антигенной изменчивостью, что позволяет им избегать действия факторов иммунитета. Например, каждой стадии развития малярийного плазмодия соответствуют свои специфические антигены.</w:t>
      </w:r>
    </w:p>
    <w:p w14:paraId="0058BF09" w14:textId="77777777" w:rsidR="00DE7C63" w:rsidRDefault="00DE7C63" w:rsidP="00DE7C63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Напряженность противопаразитарного иммунитета оценивается в серологических тестах по титру специфических антител и в кожно-аллергических пробах с протозойным антигеном.</w:t>
      </w:r>
    </w:p>
    <w:p w14:paraId="67A55E49" w14:textId="77777777" w:rsidR="00DE7C63" w:rsidRDefault="00DE7C63" w:rsidP="00DE7C63">
      <w:pPr>
        <w:pStyle w:val="txt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Особенности противоглистного иммунитета</w:t>
      </w:r>
    </w:p>
    <w:p w14:paraId="4E1F0231" w14:textId="77777777" w:rsidR="00DE7C63" w:rsidRDefault="00DE7C63" w:rsidP="00DE7C63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Ведущую роль в осуществлении иммунной защиты макроорганизма от глистной инвазии играют эозинофилы, которые осуществляют АЗКЦТ. Эти клетки распознают паразитов, отмеченных специфическими </w:t>
      </w:r>
      <w:proofErr w:type="spellStart"/>
      <w:r>
        <w:rPr>
          <w:color w:val="000000"/>
        </w:rPr>
        <w:t>IgE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IgA</w:t>
      </w:r>
      <w:proofErr w:type="spellEnd"/>
      <w:r>
        <w:rPr>
          <w:color w:val="000000"/>
        </w:rPr>
        <w:t xml:space="preserve">. Активированный эозинофил выделяет путем </w:t>
      </w:r>
      <w:proofErr w:type="spellStart"/>
      <w:r>
        <w:rPr>
          <w:color w:val="000000"/>
        </w:rPr>
        <w:t>дегрануляции</w:t>
      </w:r>
      <w:proofErr w:type="spellEnd"/>
      <w:r>
        <w:rPr>
          <w:color w:val="000000"/>
        </w:rPr>
        <w:t xml:space="preserve"> ряд токсичных субстанций (ферменты, белковые токсины), губительно действующих </w:t>
      </w:r>
      <w:proofErr w:type="gramStart"/>
      <w:r>
        <w:rPr>
          <w:color w:val="000000"/>
        </w:rPr>
        <w:t>на гельминты</w:t>
      </w:r>
      <w:proofErr w:type="gramEnd"/>
      <w:r>
        <w:rPr>
          <w:color w:val="000000"/>
        </w:rPr>
        <w:t>.</w:t>
      </w:r>
    </w:p>
    <w:p w14:paraId="16A3FAB4" w14:textId="77777777" w:rsidR="00DE7C63" w:rsidRDefault="00DE7C63" w:rsidP="00DE7C63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Антигены гельминта, связываясь также с рецепторными комплексами тучных клеток слизистой оболочки, вызывают их </w:t>
      </w:r>
      <w:proofErr w:type="spellStart"/>
      <w:r>
        <w:rPr>
          <w:color w:val="000000"/>
        </w:rPr>
        <w:t>дегрануляцию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Экскретированные</w:t>
      </w:r>
      <w:proofErr w:type="spellEnd"/>
      <w:r>
        <w:rPr>
          <w:color w:val="000000"/>
        </w:rPr>
        <w:t xml:space="preserve"> биологически активные соединения вызывают интенсивную перистальтику, удаляющую паразита или его останки из просвета кишки.</w:t>
      </w:r>
    </w:p>
    <w:p w14:paraId="2BD58A42" w14:textId="77777777" w:rsidR="00DE7C63" w:rsidRDefault="00DE7C63" w:rsidP="00DE7C63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Эозинофилы и тучные клетки синтезируют цитокины и липидные медиаторы, потенцирующие воспалительную реакцию в месте внедрения гельминта. Глистная инвазия сопровождается </w:t>
      </w:r>
      <w:proofErr w:type="spellStart"/>
      <w:r>
        <w:rPr>
          <w:color w:val="000000"/>
        </w:rPr>
        <w:t>аллергизацией</w:t>
      </w:r>
      <w:proofErr w:type="spellEnd"/>
      <w:r>
        <w:rPr>
          <w:color w:val="000000"/>
        </w:rPr>
        <w:t xml:space="preserve"> в основном по механизму ГЗТ.</w:t>
      </w:r>
    </w:p>
    <w:p w14:paraId="3A25C8AA" w14:textId="77777777" w:rsidR="00DE7C63" w:rsidRDefault="00DE7C63" w:rsidP="00DE7C63">
      <w:pPr>
        <w:pStyle w:val="txt"/>
        <w:spacing w:before="0" w:beforeAutospacing="0" w:after="0" w:afterAutospacing="0"/>
        <w:jc w:val="both"/>
        <w:rPr>
          <w:color w:val="000000"/>
        </w:rPr>
      </w:pPr>
    </w:p>
    <w:p w14:paraId="28F86E20" w14:textId="6F1FE40C" w:rsidR="00267663" w:rsidRPr="00DE7C63" w:rsidRDefault="00DE7C63">
      <w:pPr>
        <w:rPr>
          <w:rFonts w:ascii="Times New Roman" w:hAnsi="Times New Roman"/>
          <w:sz w:val="24"/>
          <w:szCs w:val="24"/>
          <w:lang w:val="ru-RU"/>
        </w:rPr>
      </w:pPr>
      <w:bookmarkStart w:id="0" w:name="_Hlk38639936"/>
      <w:r w:rsidRPr="00DE7C63">
        <w:rPr>
          <w:rFonts w:ascii="Times New Roman" w:hAnsi="Times New Roman"/>
          <w:b/>
          <w:bCs/>
          <w:sz w:val="24"/>
          <w:szCs w:val="24"/>
          <w:lang w:val="ru-RU"/>
        </w:rPr>
        <w:t xml:space="preserve">СРС: </w:t>
      </w:r>
      <w:r>
        <w:rPr>
          <w:rFonts w:ascii="Times New Roman" w:hAnsi="Times New Roman"/>
          <w:sz w:val="24"/>
          <w:szCs w:val="24"/>
          <w:lang w:val="ru-RU"/>
        </w:rPr>
        <w:t>Напишите краткий конспект на тему «Противоопухолевый и трансплантационный иммунитет»</w:t>
      </w:r>
      <w:bookmarkEnd w:id="0"/>
    </w:p>
    <w:sectPr w:rsidR="00267663" w:rsidRPr="00DE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C1818"/>
    <w:multiLevelType w:val="hybridMultilevel"/>
    <w:tmpl w:val="6EAAC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83"/>
    <w:rsid w:val="00267663"/>
    <w:rsid w:val="00A43183"/>
    <w:rsid w:val="00D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C6A0D"/>
  <w15:chartTrackingRefBased/>
  <w15:docId w15:val="{70111573-9626-46EE-A44F-7FAB64A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C63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C63"/>
    <w:pPr>
      <w:ind w:left="720"/>
      <w:contextualSpacing/>
    </w:pPr>
  </w:style>
  <w:style w:type="paragraph" w:customStyle="1" w:styleId="txt">
    <w:name w:val="txt"/>
    <w:basedOn w:val="a"/>
    <w:uiPriority w:val="99"/>
    <w:semiHidden/>
    <w:rsid w:val="00DE7C6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Akhremenko</dc:creator>
  <cp:keywords/>
  <dc:description/>
  <cp:lastModifiedBy>Yana Akhremenko</cp:lastModifiedBy>
  <cp:revision>2</cp:revision>
  <dcterms:created xsi:type="dcterms:W3CDTF">2020-04-24T07:56:00Z</dcterms:created>
  <dcterms:modified xsi:type="dcterms:W3CDTF">2020-04-24T08:00:00Z</dcterms:modified>
</cp:coreProperties>
</file>